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301224662"/>
        <w:docPartObj>
          <w:docPartGallery w:val="Cover Pages"/>
          <w:docPartUnique/>
        </w:docPartObj>
      </w:sdtPr>
      <w:sdtEndPr/>
      <w:sdtContent>
        <w:p w14:paraId="5AB5AA24" w14:textId="27876911" w:rsidR="006A58FF" w:rsidRDefault="006A58FF">
          <w:r>
            <w:rPr>
              <w:noProof/>
            </w:rPr>
            <mc:AlternateContent>
              <mc:Choice Requires="wpg">
                <w:drawing>
                  <wp:anchor distT="0" distB="0" distL="114300" distR="114300" simplePos="0" relativeHeight="251662336" behindDoc="0" locked="0" layoutInCell="1" allowOverlap="1" wp14:anchorId="064D0FFB" wp14:editId="556ACF0C">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5200" cy="1215391"/>
                    <wp:effectExtent l="0" t="0" r="1270" b="1905"/>
                    <wp:wrapNone/>
                    <wp:docPr id="149" name="Group 51"/>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108E558D" id="Group 51"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4472c4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14:anchorId="7D95E868" wp14:editId="7B01D0F1">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15200" cy="914400"/>
                    <wp:effectExtent l="0" t="0" r="0" b="8255"/>
                    <wp:wrapSquare wrapText="bothSides"/>
                    <wp:docPr id="152" name="Text Box 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5A547199" w14:textId="014A75BE" w:rsidR="006A58FF" w:rsidRDefault="00E70F9F">
                                    <w:pPr>
                                      <w:pStyle w:val="NoSpacing"/>
                                      <w:jc w:val="right"/>
                                      <w:rPr>
                                        <w:color w:val="595959" w:themeColor="text1" w:themeTint="A6"/>
                                        <w:sz w:val="28"/>
                                        <w:szCs w:val="28"/>
                                      </w:rPr>
                                    </w:pPr>
                                    <w:r>
                                      <w:rPr>
                                        <w:color w:val="595959" w:themeColor="text1" w:themeTint="A6"/>
                                        <w:sz w:val="28"/>
                                        <w:szCs w:val="28"/>
                                      </w:rPr>
                                      <w:t>Aaron P. Mitchell, MD, MPH</w:t>
                                    </w:r>
                                  </w:p>
                                </w:sdtContent>
                              </w:sdt>
                              <w:p w14:paraId="7496D850" w14:textId="06DEAC5F" w:rsidR="006A58FF" w:rsidRDefault="005D084B">
                                <w:pPr>
                                  <w:pStyle w:val="NoSpacing"/>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EndPr/>
                                  <w:sdtContent>
                                    <w:r w:rsidR="00E70F9F">
                                      <w:rPr>
                                        <w:color w:val="595959" w:themeColor="text1" w:themeTint="A6"/>
                                        <w:sz w:val="18"/>
                                        <w:szCs w:val="18"/>
                                      </w:rPr>
                                      <w:t>Mitchea2@mskcc.org</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7D95E868" id="_x0000_t202" coordsize="21600,21600" o:spt="202" path="m,l,21600r21600,l21600,xe">
                    <v:stroke joinstyle="miter"/>
                    <v:path gradientshapeok="t" o:connecttype="rect"/>
                  </v:shapetype>
                  <v:shape id="Text Box 52" o:spid="_x0000_s1026" type="#_x0000_t202" style="position:absolute;left:0;text-align:left;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" filled="f" stroked="f" strokeweight=".5pt">
                    <v:textbox inset="126pt,0,54pt,0">
                      <w:txbxContent>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5A547199" w14:textId="014A75BE" w:rsidR="006A58FF" w:rsidRDefault="00E70F9F">
                              <w:pPr>
                                <w:pStyle w:val="NoSpacing"/>
                                <w:jc w:val="right"/>
                                <w:rPr>
                                  <w:color w:val="595959" w:themeColor="text1" w:themeTint="A6"/>
                                  <w:sz w:val="28"/>
                                  <w:szCs w:val="28"/>
                                </w:rPr>
                              </w:pPr>
                              <w:r>
                                <w:rPr>
                                  <w:color w:val="595959" w:themeColor="text1" w:themeTint="A6"/>
                                  <w:sz w:val="28"/>
                                  <w:szCs w:val="28"/>
                                </w:rPr>
                                <w:t>Aaron P. Mitchell, MD, MPH</w:t>
                              </w:r>
                            </w:p>
                          </w:sdtContent>
                        </w:sdt>
                        <w:p w14:paraId="7496D850" w14:textId="06DEAC5F" w:rsidR="006A58FF" w:rsidRDefault="005D084B">
                          <w:pPr>
                            <w:pStyle w:val="NoSpacing"/>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EndPr/>
                            <w:sdtContent>
                              <w:r w:rsidR="00E70F9F">
                                <w:rPr>
                                  <w:color w:val="595959" w:themeColor="text1" w:themeTint="A6"/>
                                  <w:sz w:val="18"/>
                                  <w:szCs w:val="18"/>
                                </w:rPr>
                                <w:t>Mitchea2@mskcc.org</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29C23801" wp14:editId="10D67FA1">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5200" cy="3638550"/>
                    <wp:effectExtent l="0" t="0" r="0" b="6350"/>
                    <wp:wrapSquare wrapText="bothSides"/>
                    <wp:docPr id="154" name="Text Box 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C42488" w14:textId="4B2274AE" w:rsidR="006A58FF" w:rsidRDefault="005D084B" w:rsidP="006A58FF">
                                <w:pPr>
                                  <w:numPr>
                                    <w:ilvl w:val="0"/>
                                    <w:numId w:val="0"/>
                                  </w:numPr>
                                  <w:ind w:left="360"/>
                                  <w:jc w:val="right"/>
                                  <w:rPr>
                                    <w:color w:val="4472C4" w:themeColor="accent1"/>
                                    <w:sz w:val="64"/>
                                    <w:szCs w:val="64"/>
                                  </w:rPr>
                                </w:pPr>
                                <w:sdt>
                                  <w:sdtPr>
                                    <w:rPr>
                                      <w:caps/>
                                      <w:color w:val="4472C4" w:themeColor="accent1"/>
                                      <w:sz w:val="48"/>
                                      <w:szCs w:val="48"/>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E70F9F">
                                      <w:rPr>
                                        <w:caps/>
                                        <w:color w:val="4472C4" w:themeColor="accent1"/>
                                        <w:sz w:val="48"/>
                                        <w:szCs w:val="48"/>
                                      </w:rPr>
                                      <w:t>FRAMEWORK FOR MEASURING CANCER TREATMENT COST AND QUALITY</w:t>
                                    </w:r>
                                  </w:sdtContent>
                                </w:sdt>
                              </w:p>
                              <w:sdt>
                                <w:sdtPr>
                                  <w:rPr>
                                    <w:color w:val="ED7D31" w:themeColor="accent2"/>
                                    <w:sz w:val="24"/>
                                    <w:szCs w:val="24"/>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14BA3D91" w14:textId="1FBCB5FE" w:rsidR="006A58FF" w:rsidRPr="00495D57" w:rsidRDefault="006A58FF" w:rsidP="006A58FF">
                                    <w:pPr>
                                      <w:numPr>
                                        <w:ilvl w:val="0"/>
                                        <w:numId w:val="0"/>
                                      </w:numPr>
                                      <w:ind w:left="360"/>
                                      <w:jc w:val="right"/>
                                      <w:rPr>
                                        <w:smallCaps/>
                                        <w:color w:val="ED7D31" w:themeColor="accent2"/>
                                        <w:sz w:val="24"/>
                                        <w:szCs w:val="24"/>
                                      </w:rPr>
                                    </w:pPr>
                                    <w:r w:rsidRPr="00495D57">
                                      <w:rPr>
                                        <w:color w:val="ED7D31" w:themeColor="accent2"/>
                                        <w:sz w:val="24"/>
                                        <w:szCs w:val="24"/>
                                      </w:rPr>
                                      <w:t>User Guide</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29C23801" id="Text Box 54" o:spid="_x0000_s1027" type="#_x0000_t202" style="position:absolute;left:0;text-align:left;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" filled="f" stroked="f" strokeweight=".5pt">
                    <v:textbox inset="126pt,0,54pt,0">
                      <w:txbxContent>
                        <w:p w14:paraId="19C42488" w14:textId="4B2274AE" w:rsidR="006A58FF" w:rsidRDefault="005D084B" w:rsidP="006A58FF">
                          <w:pPr>
                            <w:numPr>
                              <w:ilvl w:val="0"/>
                              <w:numId w:val="0"/>
                            </w:numPr>
                            <w:ind w:left="360"/>
                            <w:jc w:val="right"/>
                            <w:rPr>
                              <w:color w:val="4472C4" w:themeColor="accent1"/>
                              <w:sz w:val="64"/>
                              <w:szCs w:val="64"/>
                            </w:rPr>
                          </w:pPr>
                          <w:sdt>
                            <w:sdtPr>
                              <w:rPr>
                                <w:caps/>
                                <w:color w:val="4472C4" w:themeColor="accent1"/>
                                <w:sz w:val="48"/>
                                <w:szCs w:val="48"/>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E70F9F">
                                <w:rPr>
                                  <w:caps/>
                                  <w:color w:val="4472C4" w:themeColor="accent1"/>
                                  <w:sz w:val="48"/>
                                  <w:szCs w:val="48"/>
                                </w:rPr>
                                <w:t>FRAMEWORK FOR MEASURING CANCER TREATMENT COST AND QUALITY</w:t>
                              </w:r>
                            </w:sdtContent>
                          </w:sdt>
                        </w:p>
                        <w:sdt>
                          <w:sdtPr>
                            <w:rPr>
                              <w:color w:val="ED7D31" w:themeColor="accent2"/>
                              <w:sz w:val="24"/>
                              <w:szCs w:val="24"/>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14BA3D91" w14:textId="1FBCB5FE" w:rsidR="006A58FF" w:rsidRPr="00495D57" w:rsidRDefault="006A58FF" w:rsidP="006A58FF">
                              <w:pPr>
                                <w:numPr>
                                  <w:ilvl w:val="0"/>
                                  <w:numId w:val="0"/>
                                </w:numPr>
                                <w:ind w:left="360"/>
                                <w:jc w:val="right"/>
                                <w:rPr>
                                  <w:smallCaps/>
                                  <w:color w:val="ED7D31" w:themeColor="accent2"/>
                                  <w:sz w:val="24"/>
                                  <w:szCs w:val="24"/>
                                </w:rPr>
                              </w:pPr>
                              <w:r w:rsidRPr="00495D57">
                                <w:rPr>
                                  <w:color w:val="ED7D31" w:themeColor="accent2"/>
                                  <w:sz w:val="24"/>
                                  <w:szCs w:val="24"/>
                                </w:rPr>
                                <w:t>User Guide</w:t>
                              </w:r>
                            </w:p>
                          </w:sdtContent>
                        </w:sdt>
                      </w:txbxContent>
                    </v:textbox>
                    <w10:wrap type="square" anchorx="page" anchory="page"/>
                  </v:shape>
                </w:pict>
              </mc:Fallback>
            </mc:AlternateContent>
          </w:r>
        </w:p>
        <w:p w14:paraId="18CFEF20" w14:textId="3EBDCA79" w:rsidR="006A58FF" w:rsidRDefault="006A58FF">
          <w:pPr>
            <w:numPr>
              <w:ilvl w:val="0"/>
              <w:numId w:val="0"/>
            </w:numPr>
            <w:spacing w:after="160" w:line="259" w:lineRule="auto"/>
            <w:rPr>
              <w:rFonts w:asciiTheme="majorHAnsi" w:eastAsiaTheme="majorEastAsia" w:hAnsiTheme="majorHAnsi" w:cstheme="majorBidi"/>
              <w:color w:val="2F5496" w:themeColor="accent1" w:themeShade="BF"/>
              <w:sz w:val="32"/>
              <w:szCs w:val="32"/>
            </w:rPr>
          </w:pPr>
          <w:r>
            <w:br w:type="page"/>
          </w:r>
        </w:p>
      </w:sdtContent>
    </w:sdt>
    <w:sdt>
      <w:sdtPr>
        <w:rPr>
          <w:rFonts w:ascii="Arial" w:eastAsiaTheme="minorHAnsi" w:hAnsi="Arial" w:cs="Arial"/>
          <w:color w:val="auto"/>
          <w:sz w:val="22"/>
          <w:szCs w:val="22"/>
        </w:rPr>
        <w:id w:val="1627736905"/>
        <w:docPartObj>
          <w:docPartGallery w:val="Table of Contents"/>
          <w:docPartUnique/>
        </w:docPartObj>
      </w:sdtPr>
      <w:sdtEndPr>
        <w:rPr>
          <w:b/>
          <w:bCs/>
          <w:noProof/>
        </w:rPr>
      </w:sdtEndPr>
      <w:sdtContent>
        <w:p w14:paraId="75F41A80" w14:textId="45DF0BAE" w:rsidR="00F73F07" w:rsidRPr="000778B0" w:rsidRDefault="00F73F07">
          <w:pPr>
            <w:pStyle w:val="TOCHeading"/>
            <w:rPr>
              <w:b/>
              <w:bCs/>
              <w:color w:val="auto"/>
              <w:u w:val="single"/>
            </w:rPr>
          </w:pPr>
          <w:r w:rsidRPr="000778B0">
            <w:rPr>
              <w:rFonts w:ascii="Arial" w:hAnsi="Arial" w:cs="Arial"/>
              <w:b/>
              <w:bCs/>
              <w:color w:val="auto"/>
              <w:u w:val="single"/>
            </w:rPr>
            <w:t>Table of Contents</w:t>
          </w:r>
        </w:p>
        <w:p w14:paraId="7CBF97CB" w14:textId="77777777" w:rsidR="00693534" w:rsidRPr="00693534" w:rsidRDefault="00693534" w:rsidP="00693534">
          <w:pPr>
            <w:numPr>
              <w:ilvl w:val="0"/>
              <w:numId w:val="0"/>
            </w:numPr>
          </w:pPr>
        </w:p>
        <w:p w14:paraId="7CAEF7F4" w14:textId="26275DAB" w:rsidR="00F700C7" w:rsidRDefault="00F73F07" w:rsidP="00F700C7">
          <w:pPr>
            <w:pStyle w:val="TOC1"/>
            <w:numPr>
              <w:ilvl w:val="0"/>
              <w:numId w:val="0"/>
            </w:numPr>
            <w:tabs>
              <w:tab w:val="right" w:leader="dot" w:pos="9350"/>
            </w:tabs>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94582567" w:history="1">
            <w:r w:rsidR="00F700C7" w:rsidRPr="00E857AF">
              <w:rPr>
                <w:rStyle w:val="Hyperlink"/>
                <w:noProof/>
              </w:rPr>
              <w:t xml:space="preserve">Use of Framework </w:t>
            </w:r>
            <w:r w:rsidR="00640EAE">
              <w:rPr>
                <w:rStyle w:val="Hyperlink"/>
                <w:noProof/>
              </w:rPr>
              <w:t>F</w:t>
            </w:r>
            <w:r w:rsidR="00F700C7" w:rsidRPr="00E857AF">
              <w:rPr>
                <w:rStyle w:val="Hyperlink"/>
                <w:noProof/>
              </w:rPr>
              <w:t xml:space="preserve">iles, </w:t>
            </w:r>
            <w:r w:rsidR="00640EAE">
              <w:rPr>
                <w:rStyle w:val="Hyperlink"/>
                <w:noProof/>
              </w:rPr>
              <w:t>P</w:t>
            </w:r>
            <w:r w:rsidR="00F700C7" w:rsidRPr="00E857AF">
              <w:rPr>
                <w:rStyle w:val="Hyperlink"/>
                <w:noProof/>
              </w:rPr>
              <w:t xml:space="preserve">ermissions, and </w:t>
            </w:r>
            <w:r w:rsidR="00640EAE">
              <w:rPr>
                <w:rStyle w:val="Hyperlink"/>
                <w:noProof/>
              </w:rPr>
              <w:t>D</w:t>
            </w:r>
            <w:r w:rsidR="00F700C7" w:rsidRPr="00E857AF">
              <w:rPr>
                <w:rStyle w:val="Hyperlink"/>
                <w:noProof/>
              </w:rPr>
              <w:t>isclaimers</w:t>
            </w:r>
            <w:r w:rsidR="00F700C7">
              <w:rPr>
                <w:noProof/>
                <w:webHidden/>
              </w:rPr>
              <w:tab/>
            </w:r>
            <w:r w:rsidR="00F700C7">
              <w:rPr>
                <w:noProof/>
                <w:webHidden/>
              </w:rPr>
              <w:fldChar w:fldCharType="begin"/>
            </w:r>
            <w:r w:rsidR="00F700C7">
              <w:rPr>
                <w:noProof/>
                <w:webHidden/>
              </w:rPr>
              <w:instrText xml:space="preserve"> PAGEREF _Toc194582567 \h </w:instrText>
            </w:r>
            <w:r w:rsidR="00F700C7">
              <w:rPr>
                <w:noProof/>
                <w:webHidden/>
              </w:rPr>
            </w:r>
            <w:r w:rsidR="00F700C7">
              <w:rPr>
                <w:noProof/>
                <w:webHidden/>
              </w:rPr>
              <w:fldChar w:fldCharType="separate"/>
            </w:r>
            <w:r w:rsidR="00F457F7">
              <w:rPr>
                <w:noProof/>
                <w:webHidden/>
              </w:rPr>
              <w:t>2</w:t>
            </w:r>
            <w:r w:rsidR="00F700C7">
              <w:rPr>
                <w:noProof/>
                <w:webHidden/>
              </w:rPr>
              <w:fldChar w:fldCharType="end"/>
            </w:r>
          </w:hyperlink>
        </w:p>
        <w:p w14:paraId="5F6B4EC3" w14:textId="11DB9546" w:rsidR="00F700C7" w:rsidRDefault="005D084B" w:rsidP="00F700C7">
          <w:pPr>
            <w:pStyle w:val="TOC1"/>
            <w:numPr>
              <w:ilvl w:val="0"/>
              <w:numId w:val="0"/>
            </w:numPr>
            <w:tabs>
              <w:tab w:val="right" w:leader="dot" w:pos="9350"/>
            </w:tabs>
            <w:rPr>
              <w:rFonts w:asciiTheme="minorHAnsi" w:eastAsiaTheme="minorEastAsia" w:hAnsiTheme="minorHAnsi" w:cstheme="minorBidi"/>
              <w:noProof/>
              <w:kern w:val="2"/>
              <w:sz w:val="24"/>
              <w:szCs w:val="24"/>
              <w14:ligatures w14:val="standardContextual"/>
            </w:rPr>
          </w:pPr>
          <w:hyperlink w:anchor="_Toc194582568" w:history="1">
            <w:r w:rsidR="00F700C7" w:rsidRPr="00E857AF">
              <w:rPr>
                <w:rStyle w:val="Hyperlink"/>
                <w:noProof/>
              </w:rPr>
              <w:t>Included Documents &amp; Files</w:t>
            </w:r>
            <w:r w:rsidR="00F700C7">
              <w:rPr>
                <w:noProof/>
                <w:webHidden/>
              </w:rPr>
              <w:tab/>
            </w:r>
            <w:r w:rsidR="00F700C7">
              <w:rPr>
                <w:noProof/>
                <w:webHidden/>
              </w:rPr>
              <w:fldChar w:fldCharType="begin"/>
            </w:r>
            <w:r w:rsidR="00F700C7">
              <w:rPr>
                <w:noProof/>
                <w:webHidden/>
              </w:rPr>
              <w:instrText xml:space="preserve"> PAGEREF _Toc194582568 \h </w:instrText>
            </w:r>
            <w:r w:rsidR="00F700C7">
              <w:rPr>
                <w:noProof/>
                <w:webHidden/>
              </w:rPr>
            </w:r>
            <w:r w:rsidR="00F700C7">
              <w:rPr>
                <w:noProof/>
                <w:webHidden/>
              </w:rPr>
              <w:fldChar w:fldCharType="separate"/>
            </w:r>
            <w:r w:rsidR="00F457F7">
              <w:rPr>
                <w:noProof/>
                <w:webHidden/>
              </w:rPr>
              <w:t>2</w:t>
            </w:r>
            <w:r w:rsidR="00F700C7">
              <w:rPr>
                <w:noProof/>
                <w:webHidden/>
              </w:rPr>
              <w:fldChar w:fldCharType="end"/>
            </w:r>
          </w:hyperlink>
        </w:p>
        <w:p w14:paraId="32B98A3F" w14:textId="2F92950F" w:rsidR="00F700C7" w:rsidRDefault="005D084B" w:rsidP="00F700C7">
          <w:pPr>
            <w:pStyle w:val="TOC1"/>
            <w:numPr>
              <w:ilvl w:val="0"/>
              <w:numId w:val="0"/>
            </w:numPr>
            <w:tabs>
              <w:tab w:val="right" w:leader="dot" w:pos="9350"/>
            </w:tabs>
            <w:rPr>
              <w:rFonts w:asciiTheme="minorHAnsi" w:eastAsiaTheme="minorEastAsia" w:hAnsiTheme="minorHAnsi" w:cstheme="minorBidi"/>
              <w:noProof/>
              <w:kern w:val="2"/>
              <w:sz w:val="24"/>
              <w:szCs w:val="24"/>
              <w14:ligatures w14:val="standardContextual"/>
            </w:rPr>
          </w:pPr>
          <w:hyperlink w:anchor="_Toc194582569" w:history="1">
            <w:r w:rsidR="00F700C7" w:rsidRPr="00E857AF">
              <w:rPr>
                <w:rStyle w:val="Hyperlink"/>
                <w:noProof/>
              </w:rPr>
              <w:t>Requesting NCCN Guidelines</w:t>
            </w:r>
            <w:r w:rsidR="00F700C7">
              <w:rPr>
                <w:noProof/>
                <w:webHidden/>
              </w:rPr>
              <w:tab/>
            </w:r>
            <w:r w:rsidR="00F700C7">
              <w:rPr>
                <w:noProof/>
                <w:webHidden/>
              </w:rPr>
              <w:fldChar w:fldCharType="begin"/>
            </w:r>
            <w:r w:rsidR="00F700C7">
              <w:rPr>
                <w:noProof/>
                <w:webHidden/>
              </w:rPr>
              <w:instrText xml:space="preserve"> PAGEREF _Toc194582569 \h </w:instrText>
            </w:r>
            <w:r w:rsidR="00F700C7">
              <w:rPr>
                <w:noProof/>
                <w:webHidden/>
              </w:rPr>
            </w:r>
            <w:r w:rsidR="00F700C7">
              <w:rPr>
                <w:noProof/>
                <w:webHidden/>
              </w:rPr>
              <w:fldChar w:fldCharType="separate"/>
            </w:r>
            <w:r w:rsidR="00F457F7">
              <w:rPr>
                <w:noProof/>
                <w:webHidden/>
              </w:rPr>
              <w:t>3</w:t>
            </w:r>
            <w:r w:rsidR="00F700C7">
              <w:rPr>
                <w:noProof/>
                <w:webHidden/>
              </w:rPr>
              <w:fldChar w:fldCharType="end"/>
            </w:r>
          </w:hyperlink>
        </w:p>
        <w:p w14:paraId="12F972F3" w14:textId="6A8A38BE" w:rsidR="00F700C7" w:rsidRDefault="005D084B" w:rsidP="00F700C7">
          <w:pPr>
            <w:pStyle w:val="TOC1"/>
            <w:numPr>
              <w:ilvl w:val="0"/>
              <w:numId w:val="0"/>
            </w:numPr>
            <w:tabs>
              <w:tab w:val="right" w:leader="dot" w:pos="9350"/>
            </w:tabs>
            <w:rPr>
              <w:rFonts w:asciiTheme="minorHAnsi" w:eastAsiaTheme="minorEastAsia" w:hAnsiTheme="minorHAnsi" w:cstheme="minorBidi"/>
              <w:noProof/>
              <w:kern w:val="2"/>
              <w:sz w:val="24"/>
              <w:szCs w:val="24"/>
              <w14:ligatures w14:val="standardContextual"/>
            </w:rPr>
          </w:pPr>
          <w:hyperlink w:anchor="_Toc194582570" w:history="1">
            <w:r w:rsidR="00F700C7" w:rsidRPr="00E857AF">
              <w:rPr>
                <w:rStyle w:val="Hyperlink"/>
                <w:noProof/>
              </w:rPr>
              <w:t>Downloading CMS ASP Files</w:t>
            </w:r>
            <w:r w:rsidR="00F700C7">
              <w:rPr>
                <w:noProof/>
                <w:webHidden/>
              </w:rPr>
              <w:tab/>
            </w:r>
            <w:r w:rsidR="00F700C7">
              <w:rPr>
                <w:noProof/>
                <w:webHidden/>
              </w:rPr>
              <w:fldChar w:fldCharType="begin"/>
            </w:r>
            <w:r w:rsidR="00F700C7">
              <w:rPr>
                <w:noProof/>
                <w:webHidden/>
              </w:rPr>
              <w:instrText xml:space="preserve"> PAGEREF _Toc194582570 \h </w:instrText>
            </w:r>
            <w:r w:rsidR="00F700C7">
              <w:rPr>
                <w:noProof/>
                <w:webHidden/>
              </w:rPr>
            </w:r>
            <w:r w:rsidR="00F700C7">
              <w:rPr>
                <w:noProof/>
                <w:webHidden/>
              </w:rPr>
              <w:fldChar w:fldCharType="separate"/>
            </w:r>
            <w:r w:rsidR="00F457F7">
              <w:rPr>
                <w:noProof/>
                <w:webHidden/>
              </w:rPr>
              <w:t>3</w:t>
            </w:r>
            <w:r w:rsidR="00F700C7">
              <w:rPr>
                <w:noProof/>
                <w:webHidden/>
              </w:rPr>
              <w:fldChar w:fldCharType="end"/>
            </w:r>
          </w:hyperlink>
        </w:p>
        <w:p w14:paraId="06BB8283" w14:textId="180391E3" w:rsidR="00F700C7" w:rsidRDefault="005D084B" w:rsidP="00F700C7">
          <w:pPr>
            <w:pStyle w:val="TOC1"/>
            <w:numPr>
              <w:ilvl w:val="0"/>
              <w:numId w:val="0"/>
            </w:numPr>
            <w:tabs>
              <w:tab w:val="right" w:leader="dot" w:pos="9350"/>
            </w:tabs>
            <w:rPr>
              <w:rFonts w:asciiTheme="minorHAnsi" w:eastAsiaTheme="minorEastAsia" w:hAnsiTheme="minorHAnsi" w:cstheme="minorBidi"/>
              <w:noProof/>
              <w:kern w:val="2"/>
              <w:sz w:val="24"/>
              <w:szCs w:val="24"/>
              <w14:ligatures w14:val="standardContextual"/>
            </w:rPr>
          </w:pPr>
          <w:hyperlink w:anchor="_Toc194582571" w:history="1">
            <w:r w:rsidR="00F700C7" w:rsidRPr="00E857AF">
              <w:rPr>
                <w:rStyle w:val="Hyperlink"/>
                <w:noProof/>
              </w:rPr>
              <w:t>NCCN Abstractions</w:t>
            </w:r>
            <w:r w:rsidR="00F700C7">
              <w:rPr>
                <w:noProof/>
                <w:webHidden/>
              </w:rPr>
              <w:tab/>
            </w:r>
            <w:r w:rsidR="00F700C7">
              <w:rPr>
                <w:noProof/>
                <w:webHidden/>
              </w:rPr>
              <w:fldChar w:fldCharType="begin"/>
            </w:r>
            <w:r w:rsidR="00F700C7">
              <w:rPr>
                <w:noProof/>
                <w:webHidden/>
              </w:rPr>
              <w:instrText xml:space="preserve"> PAGEREF _Toc194582571 \h </w:instrText>
            </w:r>
            <w:r w:rsidR="00F700C7">
              <w:rPr>
                <w:noProof/>
                <w:webHidden/>
              </w:rPr>
            </w:r>
            <w:r w:rsidR="00F700C7">
              <w:rPr>
                <w:noProof/>
                <w:webHidden/>
              </w:rPr>
              <w:fldChar w:fldCharType="separate"/>
            </w:r>
            <w:r w:rsidR="00F457F7">
              <w:rPr>
                <w:noProof/>
                <w:webHidden/>
              </w:rPr>
              <w:t>3</w:t>
            </w:r>
            <w:r w:rsidR="00F700C7">
              <w:rPr>
                <w:noProof/>
                <w:webHidden/>
              </w:rPr>
              <w:fldChar w:fldCharType="end"/>
            </w:r>
          </w:hyperlink>
        </w:p>
        <w:p w14:paraId="628A91D6" w14:textId="182CEC35" w:rsidR="00F700C7" w:rsidRDefault="005D084B" w:rsidP="00F700C7">
          <w:pPr>
            <w:pStyle w:val="TOC1"/>
            <w:numPr>
              <w:ilvl w:val="0"/>
              <w:numId w:val="0"/>
            </w:numPr>
            <w:tabs>
              <w:tab w:val="right" w:leader="dot" w:pos="9350"/>
            </w:tabs>
            <w:rPr>
              <w:rFonts w:asciiTheme="minorHAnsi" w:eastAsiaTheme="minorEastAsia" w:hAnsiTheme="minorHAnsi" w:cstheme="minorBidi"/>
              <w:noProof/>
              <w:kern w:val="2"/>
              <w:sz w:val="24"/>
              <w:szCs w:val="24"/>
              <w14:ligatures w14:val="standardContextual"/>
            </w:rPr>
          </w:pPr>
          <w:hyperlink w:anchor="_Toc194582572" w:history="1">
            <w:r w:rsidR="00F700C7" w:rsidRPr="00E857AF">
              <w:rPr>
                <w:rStyle w:val="Hyperlink"/>
                <w:noProof/>
              </w:rPr>
              <w:t>Unique ID</w:t>
            </w:r>
            <w:r w:rsidR="00F700C7">
              <w:rPr>
                <w:noProof/>
                <w:webHidden/>
              </w:rPr>
              <w:tab/>
            </w:r>
            <w:r w:rsidR="00F700C7">
              <w:rPr>
                <w:noProof/>
                <w:webHidden/>
              </w:rPr>
              <w:fldChar w:fldCharType="begin"/>
            </w:r>
            <w:r w:rsidR="00F700C7">
              <w:rPr>
                <w:noProof/>
                <w:webHidden/>
              </w:rPr>
              <w:instrText xml:space="preserve"> PAGEREF _Toc194582572 \h </w:instrText>
            </w:r>
            <w:r w:rsidR="00F700C7">
              <w:rPr>
                <w:noProof/>
                <w:webHidden/>
              </w:rPr>
            </w:r>
            <w:r w:rsidR="00F700C7">
              <w:rPr>
                <w:noProof/>
                <w:webHidden/>
              </w:rPr>
              <w:fldChar w:fldCharType="separate"/>
            </w:r>
            <w:r w:rsidR="00F457F7">
              <w:rPr>
                <w:noProof/>
                <w:webHidden/>
              </w:rPr>
              <w:t>3</w:t>
            </w:r>
            <w:r w:rsidR="00F700C7">
              <w:rPr>
                <w:noProof/>
                <w:webHidden/>
              </w:rPr>
              <w:fldChar w:fldCharType="end"/>
            </w:r>
          </w:hyperlink>
        </w:p>
        <w:p w14:paraId="7909AC0F" w14:textId="3ABE4066" w:rsidR="00F700C7" w:rsidRDefault="005D084B" w:rsidP="00F700C7">
          <w:pPr>
            <w:pStyle w:val="TOC1"/>
            <w:numPr>
              <w:ilvl w:val="0"/>
              <w:numId w:val="0"/>
            </w:numPr>
            <w:tabs>
              <w:tab w:val="right" w:leader="dot" w:pos="9350"/>
            </w:tabs>
            <w:rPr>
              <w:rFonts w:asciiTheme="minorHAnsi" w:eastAsiaTheme="minorEastAsia" w:hAnsiTheme="minorHAnsi" w:cstheme="minorBidi"/>
              <w:noProof/>
              <w:kern w:val="2"/>
              <w:sz w:val="24"/>
              <w:szCs w:val="24"/>
              <w14:ligatures w14:val="standardContextual"/>
            </w:rPr>
          </w:pPr>
          <w:hyperlink w:anchor="_Toc194582573" w:history="1">
            <w:r w:rsidR="00F700C7" w:rsidRPr="00E857AF">
              <w:rPr>
                <w:rStyle w:val="Hyperlink"/>
                <w:noProof/>
              </w:rPr>
              <w:t>Radiation Therapy/Stem Cell Transplant</w:t>
            </w:r>
            <w:r w:rsidR="00F700C7">
              <w:rPr>
                <w:noProof/>
                <w:webHidden/>
              </w:rPr>
              <w:tab/>
            </w:r>
            <w:r w:rsidR="00F700C7">
              <w:rPr>
                <w:noProof/>
                <w:webHidden/>
              </w:rPr>
              <w:fldChar w:fldCharType="begin"/>
            </w:r>
            <w:r w:rsidR="00F700C7">
              <w:rPr>
                <w:noProof/>
                <w:webHidden/>
              </w:rPr>
              <w:instrText xml:space="preserve"> PAGEREF _Toc194582573 \h </w:instrText>
            </w:r>
            <w:r w:rsidR="00F700C7">
              <w:rPr>
                <w:noProof/>
                <w:webHidden/>
              </w:rPr>
            </w:r>
            <w:r w:rsidR="00F700C7">
              <w:rPr>
                <w:noProof/>
                <w:webHidden/>
              </w:rPr>
              <w:fldChar w:fldCharType="separate"/>
            </w:r>
            <w:r w:rsidR="00F457F7">
              <w:rPr>
                <w:noProof/>
                <w:webHidden/>
              </w:rPr>
              <w:t>3</w:t>
            </w:r>
            <w:r w:rsidR="00F700C7">
              <w:rPr>
                <w:noProof/>
                <w:webHidden/>
              </w:rPr>
              <w:fldChar w:fldCharType="end"/>
            </w:r>
          </w:hyperlink>
        </w:p>
        <w:p w14:paraId="031ABC2E" w14:textId="77C2E976" w:rsidR="00F700C7" w:rsidRDefault="005D084B" w:rsidP="00F700C7">
          <w:pPr>
            <w:pStyle w:val="TOC1"/>
            <w:numPr>
              <w:ilvl w:val="0"/>
              <w:numId w:val="0"/>
            </w:numPr>
            <w:tabs>
              <w:tab w:val="right" w:leader="dot" w:pos="9350"/>
            </w:tabs>
            <w:rPr>
              <w:rFonts w:asciiTheme="minorHAnsi" w:eastAsiaTheme="minorEastAsia" w:hAnsiTheme="minorHAnsi" w:cstheme="minorBidi"/>
              <w:noProof/>
              <w:kern w:val="2"/>
              <w:sz w:val="24"/>
              <w:szCs w:val="24"/>
              <w14:ligatures w14:val="standardContextual"/>
            </w:rPr>
          </w:pPr>
          <w:hyperlink w:anchor="_Toc194582574" w:history="1">
            <w:r w:rsidR="00F700C7" w:rsidRPr="00E857AF">
              <w:rPr>
                <w:rStyle w:val="Hyperlink"/>
                <w:noProof/>
              </w:rPr>
              <w:t>Categories of Consensus and Evidence</w:t>
            </w:r>
            <w:r w:rsidR="00F700C7">
              <w:rPr>
                <w:noProof/>
                <w:webHidden/>
              </w:rPr>
              <w:tab/>
            </w:r>
            <w:r w:rsidR="00F700C7">
              <w:rPr>
                <w:noProof/>
                <w:webHidden/>
              </w:rPr>
              <w:fldChar w:fldCharType="begin"/>
            </w:r>
            <w:r w:rsidR="00F700C7">
              <w:rPr>
                <w:noProof/>
                <w:webHidden/>
              </w:rPr>
              <w:instrText xml:space="preserve"> PAGEREF _Toc194582574 \h </w:instrText>
            </w:r>
            <w:r w:rsidR="00F700C7">
              <w:rPr>
                <w:noProof/>
                <w:webHidden/>
              </w:rPr>
            </w:r>
            <w:r w:rsidR="00F700C7">
              <w:rPr>
                <w:noProof/>
                <w:webHidden/>
              </w:rPr>
              <w:fldChar w:fldCharType="separate"/>
            </w:r>
            <w:r w:rsidR="00F457F7">
              <w:rPr>
                <w:noProof/>
                <w:webHidden/>
              </w:rPr>
              <w:t>4</w:t>
            </w:r>
            <w:r w:rsidR="00F700C7">
              <w:rPr>
                <w:noProof/>
                <w:webHidden/>
              </w:rPr>
              <w:fldChar w:fldCharType="end"/>
            </w:r>
          </w:hyperlink>
        </w:p>
        <w:p w14:paraId="33B1E696" w14:textId="47851090" w:rsidR="00F700C7" w:rsidRDefault="005D084B" w:rsidP="00F700C7">
          <w:pPr>
            <w:pStyle w:val="TOC1"/>
            <w:numPr>
              <w:ilvl w:val="0"/>
              <w:numId w:val="0"/>
            </w:numPr>
            <w:tabs>
              <w:tab w:val="right" w:leader="dot" w:pos="9350"/>
            </w:tabs>
            <w:rPr>
              <w:rFonts w:asciiTheme="minorHAnsi" w:eastAsiaTheme="minorEastAsia" w:hAnsiTheme="minorHAnsi" w:cstheme="minorBidi"/>
              <w:noProof/>
              <w:kern w:val="2"/>
              <w:sz w:val="24"/>
              <w:szCs w:val="24"/>
              <w14:ligatures w14:val="standardContextual"/>
            </w:rPr>
          </w:pPr>
          <w:hyperlink w:anchor="_Toc194582575" w:history="1">
            <w:r w:rsidR="00F700C7" w:rsidRPr="00E857AF">
              <w:rPr>
                <w:rStyle w:val="Hyperlink"/>
                <w:noProof/>
              </w:rPr>
              <w:t>Regimen Types</w:t>
            </w:r>
            <w:r w:rsidR="00F700C7">
              <w:rPr>
                <w:noProof/>
                <w:webHidden/>
              </w:rPr>
              <w:tab/>
            </w:r>
            <w:r w:rsidR="00F700C7">
              <w:rPr>
                <w:noProof/>
                <w:webHidden/>
              </w:rPr>
              <w:fldChar w:fldCharType="begin"/>
            </w:r>
            <w:r w:rsidR="00F700C7">
              <w:rPr>
                <w:noProof/>
                <w:webHidden/>
              </w:rPr>
              <w:instrText xml:space="preserve"> PAGEREF _Toc194582575 \h </w:instrText>
            </w:r>
            <w:r w:rsidR="00F700C7">
              <w:rPr>
                <w:noProof/>
                <w:webHidden/>
              </w:rPr>
            </w:r>
            <w:r w:rsidR="00F700C7">
              <w:rPr>
                <w:noProof/>
                <w:webHidden/>
              </w:rPr>
              <w:fldChar w:fldCharType="separate"/>
            </w:r>
            <w:r w:rsidR="00F457F7">
              <w:rPr>
                <w:noProof/>
                <w:webHidden/>
              </w:rPr>
              <w:t>4</w:t>
            </w:r>
            <w:r w:rsidR="00F700C7">
              <w:rPr>
                <w:noProof/>
                <w:webHidden/>
              </w:rPr>
              <w:fldChar w:fldCharType="end"/>
            </w:r>
          </w:hyperlink>
        </w:p>
        <w:p w14:paraId="4AE7D2F9" w14:textId="67744CDD" w:rsidR="00F700C7" w:rsidRDefault="005D084B" w:rsidP="00640EAE">
          <w:pPr>
            <w:pStyle w:val="TOC2"/>
            <w:rPr>
              <w:rFonts w:asciiTheme="minorHAnsi" w:eastAsiaTheme="minorEastAsia" w:hAnsiTheme="minorHAnsi" w:cstheme="minorBidi"/>
              <w:kern w:val="2"/>
              <w:sz w:val="24"/>
              <w:szCs w:val="24"/>
              <w14:ligatures w14:val="standardContextual"/>
            </w:rPr>
          </w:pPr>
          <w:hyperlink w:anchor="_Toc194582576" w:history="1">
            <w:r w:rsidR="00F700C7" w:rsidRPr="00E857AF">
              <w:rPr>
                <w:rStyle w:val="Hyperlink"/>
              </w:rPr>
              <w:t>Time limited treatments</w:t>
            </w:r>
            <w:r w:rsidR="00F700C7">
              <w:rPr>
                <w:webHidden/>
              </w:rPr>
              <w:tab/>
            </w:r>
            <w:r w:rsidR="00F700C7">
              <w:rPr>
                <w:webHidden/>
              </w:rPr>
              <w:fldChar w:fldCharType="begin"/>
            </w:r>
            <w:r w:rsidR="00F700C7">
              <w:rPr>
                <w:webHidden/>
              </w:rPr>
              <w:instrText xml:space="preserve"> PAGEREF _Toc194582576 \h </w:instrText>
            </w:r>
            <w:r w:rsidR="00F700C7">
              <w:rPr>
                <w:webHidden/>
              </w:rPr>
            </w:r>
            <w:r w:rsidR="00F700C7">
              <w:rPr>
                <w:webHidden/>
              </w:rPr>
              <w:fldChar w:fldCharType="separate"/>
            </w:r>
            <w:r w:rsidR="00F457F7">
              <w:rPr>
                <w:webHidden/>
              </w:rPr>
              <w:t>4</w:t>
            </w:r>
            <w:r w:rsidR="00F700C7">
              <w:rPr>
                <w:webHidden/>
              </w:rPr>
              <w:fldChar w:fldCharType="end"/>
            </w:r>
          </w:hyperlink>
        </w:p>
        <w:p w14:paraId="3A957A11" w14:textId="1AFA1F07" w:rsidR="00F700C7" w:rsidRDefault="005D084B" w:rsidP="00640EAE">
          <w:pPr>
            <w:pStyle w:val="TOC2"/>
            <w:rPr>
              <w:rFonts w:asciiTheme="minorHAnsi" w:eastAsiaTheme="minorEastAsia" w:hAnsiTheme="minorHAnsi" w:cstheme="minorBidi"/>
              <w:kern w:val="2"/>
              <w:sz w:val="24"/>
              <w:szCs w:val="24"/>
              <w14:ligatures w14:val="standardContextual"/>
            </w:rPr>
          </w:pPr>
          <w:hyperlink w:anchor="_Toc194582577" w:history="1">
            <w:r w:rsidR="00F700C7" w:rsidRPr="00E857AF">
              <w:rPr>
                <w:rStyle w:val="Hyperlink"/>
              </w:rPr>
              <w:t>Time unlimited treatments</w:t>
            </w:r>
            <w:r w:rsidR="00F700C7">
              <w:rPr>
                <w:webHidden/>
              </w:rPr>
              <w:tab/>
            </w:r>
            <w:r w:rsidR="00F700C7">
              <w:rPr>
                <w:webHidden/>
              </w:rPr>
              <w:fldChar w:fldCharType="begin"/>
            </w:r>
            <w:r w:rsidR="00F700C7">
              <w:rPr>
                <w:webHidden/>
              </w:rPr>
              <w:instrText xml:space="preserve"> PAGEREF _Toc194582577 \h </w:instrText>
            </w:r>
            <w:r w:rsidR="00F700C7">
              <w:rPr>
                <w:webHidden/>
              </w:rPr>
            </w:r>
            <w:r w:rsidR="00F700C7">
              <w:rPr>
                <w:webHidden/>
              </w:rPr>
              <w:fldChar w:fldCharType="separate"/>
            </w:r>
            <w:r w:rsidR="00F457F7">
              <w:rPr>
                <w:webHidden/>
              </w:rPr>
              <w:t>4</w:t>
            </w:r>
            <w:r w:rsidR="00F700C7">
              <w:rPr>
                <w:webHidden/>
              </w:rPr>
              <w:fldChar w:fldCharType="end"/>
            </w:r>
          </w:hyperlink>
        </w:p>
        <w:p w14:paraId="1378AF53" w14:textId="74D405D3" w:rsidR="00F700C7" w:rsidRDefault="005D084B" w:rsidP="00F700C7">
          <w:pPr>
            <w:pStyle w:val="TOC1"/>
            <w:numPr>
              <w:ilvl w:val="0"/>
              <w:numId w:val="0"/>
            </w:numPr>
            <w:tabs>
              <w:tab w:val="right" w:leader="dot" w:pos="9350"/>
            </w:tabs>
            <w:rPr>
              <w:rFonts w:asciiTheme="minorHAnsi" w:eastAsiaTheme="minorEastAsia" w:hAnsiTheme="minorHAnsi" w:cstheme="minorBidi"/>
              <w:noProof/>
              <w:kern w:val="2"/>
              <w:sz w:val="24"/>
              <w:szCs w:val="24"/>
              <w14:ligatures w14:val="standardContextual"/>
            </w:rPr>
          </w:pPr>
          <w:hyperlink w:anchor="_Toc194582578" w:history="1">
            <w:r w:rsidR="00F700C7" w:rsidRPr="00E857AF">
              <w:rPr>
                <w:rStyle w:val="Hyperlink"/>
                <w:noProof/>
              </w:rPr>
              <w:t>Dosing</w:t>
            </w:r>
            <w:r w:rsidR="00F700C7">
              <w:rPr>
                <w:noProof/>
                <w:webHidden/>
              </w:rPr>
              <w:tab/>
            </w:r>
            <w:r w:rsidR="00F700C7">
              <w:rPr>
                <w:noProof/>
                <w:webHidden/>
              </w:rPr>
              <w:fldChar w:fldCharType="begin"/>
            </w:r>
            <w:r w:rsidR="00F700C7">
              <w:rPr>
                <w:noProof/>
                <w:webHidden/>
              </w:rPr>
              <w:instrText xml:space="preserve"> PAGEREF _Toc194582578 \h </w:instrText>
            </w:r>
            <w:r w:rsidR="00F700C7">
              <w:rPr>
                <w:noProof/>
                <w:webHidden/>
              </w:rPr>
            </w:r>
            <w:r w:rsidR="00F700C7">
              <w:rPr>
                <w:noProof/>
                <w:webHidden/>
              </w:rPr>
              <w:fldChar w:fldCharType="separate"/>
            </w:r>
            <w:r w:rsidR="00F457F7">
              <w:rPr>
                <w:noProof/>
                <w:webHidden/>
              </w:rPr>
              <w:t>4</w:t>
            </w:r>
            <w:r w:rsidR="00F700C7">
              <w:rPr>
                <w:noProof/>
                <w:webHidden/>
              </w:rPr>
              <w:fldChar w:fldCharType="end"/>
            </w:r>
          </w:hyperlink>
        </w:p>
        <w:p w14:paraId="17EAD221" w14:textId="1825291E" w:rsidR="00F700C7" w:rsidRPr="00640EAE" w:rsidRDefault="005D084B" w:rsidP="00640EAE">
          <w:pPr>
            <w:pStyle w:val="TOC2"/>
            <w:rPr>
              <w:rFonts w:asciiTheme="minorHAnsi" w:eastAsiaTheme="minorEastAsia" w:hAnsiTheme="minorHAnsi" w:cstheme="minorBidi"/>
              <w:kern w:val="2"/>
              <w:sz w:val="24"/>
              <w:szCs w:val="24"/>
              <w14:ligatures w14:val="standardContextual"/>
            </w:rPr>
          </w:pPr>
          <w:hyperlink w:anchor="_Toc194582579" w:history="1">
            <w:r w:rsidR="00F700C7" w:rsidRPr="00640EAE">
              <w:rPr>
                <w:rStyle w:val="Hyperlink"/>
              </w:rPr>
              <w:t>Hierarchy of information sources for dosing</w:t>
            </w:r>
            <w:r w:rsidR="00F700C7" w:rsidRPr="00640EAE">
              <w:rPr>
                <w:webHidden/>
              </w:rPr>
              <w:tab/>
            </w:r>
            <w:r w:rsidR="00F700C7" w:rsidRPr="00640EAE">
              <w:rPr>
                <w:webHidden/>
              </w:rPr>
              <w:fldChar w:fldCharType="begin"/>
            </w:r>
            <w:r w:rsidR="00F700C7" w:rsidRPr="00640EAE">
              <w:rPr>
                <w:webHidden/>
              </w:rPr>
              <w:instrText xml:space="preserve"> PAGEREF _Toc194582579 \h </w:instrText>
            </w:r>
            <w:r w:rsidR="00F700C7" w:rsidRPr="00640EAE">
              <w:rPr>
                <w:webHidden/>
              </w:rPr>
            </w:r>
            <w:r w:rsidR="00F700C7" w:rsidRPr="00640EAE">
              <w:rPr>
                <w:webHidden/>
              </w:rPr>
              <w:fldChar w:fldCharType="separate"/>
            </w:r>
            <w:r w:rsidR="00F457F7">
              <w:rPr>
                <w:webHidden/>
              </w:rPr>
              <w:t>4</w:t>
            </w:r>
            <w:r w:rsidR="00F700C7" w:rsidRPr="00640EAE">
              <w:rPr>
                <w:webHidden/>
              </w:rPr>
              <w:fldChar w:fldCharType="end"/>
            </w:r>
          </w:hyperlink>
        </w:p>
        <w:p w14:paraId="268C00B3" w14:textId="7A71E172" w:rsidR="00F700C7" w:rsidRPr="00640EAE" w:rsidRDefault="005D084B" w:rsidP="00640EAE">
          <w:pPr>
            <w:pStyle w:val="TOC2"/>
            <w:rPr>
              <w:rFonts w:asciiTheme="minorHAnsi" w:eastAsiaTheme="minorEastAsia" w:hAnsiTheme="minorHAnsi" w:cstheme="minorBidi"/>
              <w:kern w:val="2"/>
              <w:sz w:val="24"/>
              <w:szCs w:val="24"/>
              <w14:ligatures w14:val="standardContextual"/>
            </w:rPr>
          </w:pPr>
          <w:hyperlink w:anchor="_Toc194582580" w:history="1">
            <w:r w:rsidR="00F700C7" w:rsidRPr="00640EAE">
              <w:rPr>
                <w:rStyle w:val="Hyperlink"/>
              </w:rPr>
              <w:t>Regimens with multiple dosing schedules</w:t>
            </w:r>
            <w:r w:rsidR="00F700C7" w:rsidRPr="00640EAE">
              <w:rPr>
                <w:webHidden/>
              </w:rPr>
              <w:tab/>
            </w:r>
            <w:r w:rsidR="00F700C7" w:rsidRPr="00640EAE">
              <w:rPr>
                <w:webHidden/>
              </w:rPr>
              <w:fldChar w:fldCharType="begin"/>
            </w:r>
            <w:r w:rsidR="00F700C7" w:rsidRPr="00640EAE">
              <w:rPr>
                <w:webHidden/>
              </w:rPr>
              <w:instrText xml:space="preserve"> PAGEREF _Toc194582580 \h </w:instrText>
            </w:r>
            <w:r w:rsidR="00F700C7" w:rsidRPr="00640EAE">
              <w:rPr>
                <w:webHidden/>
              </w:rPr>
            </w:r>
            <w:r w:rsidR="00F700C7" w:rsidRPr="00640EAE">
              <w:rPr>
                <w:webHidden/>
              </w:rPr>
              <w:fldChar w:fldCharType="separate"/>
            </w:r>
            <w:r w:rsidR="00F457F7">
              <w:rPr>
                <w:webHidden/>
              </w:rPr>
              <w:t>5</w:t>
            </w:r>
            <w:r w:rsidR="00F700C7" w:rsidRPr="00640EAE">
              <w:rPr>
                <w:webHidden/>
              </w:rPr>
              <w:fldChar w:fldCharType="end"/>
            </w:r>
          </w:hyperlink>
        </w:p>
        <w:p w14:paraId="64039C28" w14:textId="0351D6BB" w:rsidR="00F700C7" w:rsidRPr="00640EAE" w:rsidRDefault="005D084B" w:rsidP="00640EAE">
          <w:pPr>
            <w:pStyle w:val="TOC2"/>
            <w:rPr>
              <w:rFonts w:asciiTheme="minorHAnsi" w:eastAsiaTheme="minorEastAsia" w:hAnsiTheme="minorHAnsi" w:cstheme="minorBidi"/>
              <w:kern w:val="2"/>
              <w:sz w:val="24"/>
              <w:szCs w:val="24"/>
              <w14:ligatures w14:val="standardContextual"/>
            </w:rPr>
          </w:pPr>
          <w:hyperlink w:anchor="_Toc194582581" w:history="1">
            <w:r w:rsidR="00F700C7" w:rsidRPr="00640EAE">
              <w:rPr>
                <w:rStyle w:val="Hyperlink"/>
              </w:rPr>
              <w:t>Cycle Calculations (time-unlimited vs. time-limited)</w:t>
            </w:r>
            <w:r w:rsidR="00F700C7" w:rsidRPr="00640EAE">
              <w:rPr>
                <w:webHidden/>
              </w:rPr>
              <w:tab/>
            </w:r>
            <w:r w:rsidR="00F700C7" w:rsidRPr="00640EAE">
              <w:rPr>
                <w:webHidden/>
              </w:rPr>
              <w:fldChar w:fldCharType="begin"/>
            </w:r>
            <w:r w:rsidR="00F700C7" w:rsidRPr="00640EAE">
              <w:rPr>
                <w:webHidden/>
              </w:rPr>
              <w:instrText xml:space="preserve"> PAGEREF _Toc194582581 \h </w:instrText>
            </w:r>
            <w:r w:rsidR="00F700C7" w:rsidRPr="00640EAE">
              <w:rPr>
                <w:webHidden/>
              </w:rPr>
            </w:r>
            <w:r w:rsidR="00F700C7" w:rsidRPr="00640EAE">
              <w:rPr>
                <w:webHidden/>
              </w:rPr>
              <w:fldChar w:fldCharType="separate"/>
            </w:r>
            <w:r w:rsidR="00F457F7">
              <w:rPr>
                <w:webHidden/>
              </w:rPr>
              <w:t>5</w:t>
            </w:r>
            <w:r w:rsidR="00F700C7" w:rsidRPr="00640EAE">
              <w:rPr>
                <w:webHidden/>
              </w:rPr>
              <w:fldChar w:fldCharType="end"/>
            </w:r>
          </w:hyperlink>
        </w:p>
        <w:p w14:paraId="798A8F28" w14:textId="34914956" w:rsidR="00F700C7" w:rsidRDefault="005D084B" w:rsidP="00F700C7">
          <w:pPr>
            <w:pStyle w:val="TOC1"/>
            <w:numPr>
              <w:ilvl w:val="0"/>
              <w:numId w:val="0"/>
            </w:numPr>
            <w:tabs>
              <w:tab w:val="right" w:leader="dot" w:pos="9350"/>
            </w:tabs>
            <w:rPr>
              <w:rFonts w:asciiTheme="minorHAnsi" w:eastAsiaTheme="minorEastAsia" w:hAnsiTheme="minorHAnsi" w:cstheme="minorBidi"/>
              <w:noProof/>
              <w:kern w:val="2"/>
              <w:sz w:val="24"/>
              <w:szCs w:val="24"/>
              <w14:ligatures w14:val="standardContextual"/>
            </w:rPr>
          </w:pPr>
          <w:hyperlink w:anchor="_Toc194582582" w:history="1">
            <w:r w:rsidR="00F700C7" w:rsidRPr="00E857AF">
              <w:rPr>
                <w:rStyle w:val="Hyperlink"/>
                <w:noProof/>
              </w:rPr>
              <w:t>Supportive Care: Emetic Risk/Growth Factor</w:t>
            </w:r>
            <w:r w:rsidR="00F700C7">
              <w:rPr>
                <w:noProof/>
                <w:webHidden/>
              </w:rPr>
              <w:tab/>
            </w:r>
            <w:r w:rsidR="00F700C7">
              <w:rPr>
                <w:noProof/>
                <w:webHidden/>
              </w:rPr>
              <w:fldChar w:fldCharType="begin"/>
            </w:r>
            <w:r w:rsidR="00F700C7">
              <w:rPr>
                <w:noProof/>
                <w:webHidden/>
              </w:rPr>
              <w:instrText xml:space="preserve"> PAGEREF _Toc194582582 \h </w:instrText>
            </w:r>
            <w:r w:rsidR="00F700C7">
              <w:rPr>
                <w:noProof/>
                <w:webHidden/>
              </w:rPr>
            </w:r>
            <w:r w:rsidR="00F700C7">
              <w:rPr>
                <w:noProof/>
                <w:webHidden/>
              </w:rPr>
              <w:fldChar w:fldCharType="separate"/>
            </w:r>
            <w:r w:rsidR="00F457F7">
              <w:rPr>
                <w:noProof/>
                <w:webHidden/>
              </w:rPr>
              <w:t>6</w:t>
            </w:r>
            <w:r w:rsidR="00F700C7">
              <w:rPr>
                <w:noProof/>
                <w:webHidden/>
              </w:rPr>
              <w:fldChar w:fldCharType="end"/>
            </w:r>
          </w:hyperlink>
        </w:p>
        <w:p w14:paraId="53A2EF8F" w14:textId="458BB002" w:rsidR="00F700C7" w:rsidRPr="00640EAE" w:rsidRDefault="005D084B" w:rsidP="00640EAE">
          <w:pPr>
            <w:pStyle w:val="TOC2"/>
            <w:rPr>
              <w:rFonts w:asciiTheme="minorHAnsi" w:eastAsiaTheme="minorEastAsia" w:hAnsiTheme="minorHAnsi" w:cstheme="minorBidi"/>
              <w:kern w:val="2"/>
              <w:sz w:val="24"/>
              <w:szCs w:val="24"/>
              <w14:ligatures w14:val="standardContextual"/>
            </w:rPr>
          </w:pPr>
          <w:hyperlink w:anchor="_Toc194582583" w:history="1">
            <w:r w:rsidR="00640EAE" w:rsidRPr="00640EAE">
              <w:rPr>
                <w:rStyle w:val="Hyperlink"/>
              </w:rPr>
              <w:t>A</w:t>
            </w:r>
            <w:r w:rsidR="00F700C7" w:rsidRPr="00640EAE">
              <w:rPr>
                <w:rStyle w:val="Hyperlink"/>
              </w:rPr>
              <w:t xml:space="preserve">ntiemesis </w:t>
            </w:r>
            <w:r w:rsidR="00640EAE" w:rsidRPr="00640EAE">
              <w:rPr>
                <w:rStyle w:val="Hyperlink"/>
              </w:rPr>
              <w:t>T</w:t>
            </w:r>
            <w:r w:rsidR="00F700C7" w:rsidRPr="00640EAE">
              <w:rPr>
                <w:rStyle w:val="Hyperlink"/>
              </w:rPr>
              <w:t>reatment</w:t>
            </w:r>
            <w:r w:rsidR="00F700C7" w:rsidRPr="00640EAE">
              <w:rPr>
                <w:webHidden/>
              </w:rPr>
              <w:tab/>
            </w:r>
            <w:r w:rsidR="00F700C7" w:rsidRPr="00640EAE">
              <w:rPr>
                <w:webHidden/>
              </w:rPr>
              <w:fldChar w:fldCharType="begin"/>
            </w:r>
            <w:r w:rsidR="00F700C7" w:rsidRPr="00640EAE">
              <w:rPr>
                <w:webHidden/>
              </w:rPr>
              <w:instrText xml:space="preserve"> PAGEREF _Toc194582583 \h </w:instrText>
            </w:r>
            <w:r w:rsidR="00F700C7" w:rsidRPr="00640EAE">
              <w:rPr>
                <w:webHidden/>
              </w:rPr>
            </w:r>
            <w:r w:rsidR="00F700C7" w:rsidRPr="00640EAE">
              <w:rPr>
                <w:webHidden/>
              </w:rPr>
              <w:fldChar w:fldCharType="separate"/>
            </w:r>
            <w:r w:rsidR="00F457F7">
              <w:rPr>
                <w:webHidden/>
              </w:rPr>
              <w:t>6</w:t>
            </w:r>
            <w:r w:rsidR="00F700C7" w:rsidRPr="00640EAE">
              <w:rPr>
                <w:webHidden/>
              </w:rPr>
              <w:fldChar w:fldCharType="end"/>
            </w:r>
          </w:hyperlink>
        </w:p>
        <w:p w14:paraId="2CCD2EDF" w14:textId="6DAC1009" w:rsidR="00F700C7" w:rsidRPr="00640EAE" w:rsidRDefault="005D084B" w:rsidP="00640EAE">
          <w:pPr>
            <w:pStyle w:val="TOC2"/>
            <w:rPr>
              <w:rFonts w:asciiTheme="minorHAnsi" w:eastAsiaTheme="minorEastAsia" w:hAnsiTheme="minorHAnsi" w:cstheme="minorBidi"/>
              <w:kern w:val="2"/>
              <w:sz w:val="24"/>
              <w:szCs w:val="24"/>
              <w14:ligatures w14:val="standardContextual"/>
            </w:rPr>
          </w:pPr>
          <w:hyperlink w:anchor="_Toc194582584" w:history="1">
            <w:r w:rsidR="00640EAE" w:rsidRPr="00640EAE">
              <w:rPr>
                <w:rStyle w:val="Hyperlink"/>
              </w:rPr>
              <w:t>G</w:t>
            </w:r>
            <w:r w:rsidR="00F700C7" w:rsidRPr="00640EAE">
              <w:rPr>
                <w:rStyle w:val="Hyperlink"/>
              </w:rPr>
              <w:t xml:space="preserve">rowth </w:t>
            </w:r>
            <w:r w:rsidR="00640EAE" w:rsidRPr="00640EAE">
              <w:rPr>
                <w:rStyle w:val="Hyperlink"/>
              </w:rPr>
              <w:t>F</w:t>
            </w:r>
            <w:r w:rsidR="00F700C7" w:rsidRPr="00640EAE">
              <w:rPr>
                <w:rStyle w:val="Hyperlink"/>
              </w:rPr>
              <w:t>actor</w:t>
            </w:r>
            <w:r w:rsidR="00F700C7" w:rsidRPr="00640EAE">
              <w:rPr>
                <w:webHidden/>
              </w:rPr>
              <w:tab/>
            </w:r>
            <w:r w:rsidR="00F700C7" w:rsidRPr="00640EAE">
              <w:rPr>
                <w:webHidden/>
              </w:rPr>
              <w:fldChar w:fldCharType="begin"/>
            </w:r>
            <w:r w:rsidR="00F700C7" w:rsidRPr="00640EAE">
              <w:rPr>
                <w:webHidden/>
              </w:rPr>
              <w:instrText xml:space="preserve"> PAGEREF _Toc194582584 \h </w:instrText>
            </w:r>
            <w:r w:rsidR="00F700C7" w:rsidRPr="00640EAE">
              <w:rPr>
                <w:webHidden/>
              </w:rPr>
            </w:r>
            <w:r w:rsidR="00F700C7" w:rsidRPr="00640EAE">
              <w:rPr>
                <w:webHidden/>
              </w:rPr>
              <w:fldChar w:fldCharType="separate"/>
            </w:r>
            <w:r w:rsidR="00F457F7">
              <w:rPr>
                <w:webHidden/>
              </w:rPr>
              <w:t>6</w:t>
            </w:r>
            <w:r w:rsidR="00F700C7" w:rsidRPr="00640EAE">
              <w:rPr>
                <w:webHidden/>
              </w:rPr>
              <w:fldChar w:fldCharType="end"/>
            </w:r>
          </w:hyperlink>
        </w:p>
        <w:p w14:paraId="568BE665" w14:textId="22D02B96" w:rsidR="00F700C7" w:rsidRDefault="005D084B" w:rsidP="00F700C7">
          <w:pPr>
            <w:pStyle w:val="TOC1"/>
            <w:numPr>
              <w:ilvl w:val="0"/>
              <w:numId w:val="0"/>
            </w:numPr>
            <w:tabs>
              <w:tab w:val="right" w:leader="dot" w:pos="9350"/>
            </w:tabs>
            <w:rPr>
              <w:rFonts w:asciiTheme="minorHAnsi" w:eastAsiaTheme="minorEastAsia" w:hAnsiTheme="minorHAnsi" w:cstheme="minorBidi"/>
              <w:noProof/>
              <w:kern w:val="2"/>
              <w:sz w:val="24"/>
              <w:szCs w:val="24"/>
              <w14:ligatures w14:val="standardContextual"/>
            </w:rPr>
          </w:pPr>
          <w:hyperlink w:anchor="_Toc194582585" w:history="1">
            <w:r w:rsidR="00F700C7" w:rsidRPr="00E857AF">
              <w:rPr>
                <w:rStyle w:val="Hyperlink"/>
                <w:noProof/>
              </w:rPr>
              <w:t>Drug Administration Costs</w:t>
            </w:r>
            <w:r w:rsidR="00F700C7">
              <w:rPr>
                <w:noProof/>
                <w:webHidden/>
              </w:rPr>
              <w:tab/>
            </w:r>
            <w:r w:rsidR="00F700C7">
              <w:rPr>
                <w:noProof/>
                <w:webHidden/>
              </w:rPr>
              <w:fldChar w:fldCharType="begin"/>
            </w:r>
            <w:r w:rsidR="00F700C7">
              <w:rPr>
                <w:noProof/>
                <w:webHidden/>
              </w:rPr>
              <w:instrText xml:space="preserve"> PAGEREF _Toc194582585 \h </w:instrText>
            </w:r>
            <w:r w:rsidR="00F700C7">
              <w:rPr>
                <w:noProof/>
                <w:webHidden/>
              </w:rPr>
            </w:r>
            <w:r w:rsidR="00F700C7">
              <w:rPr>
                <w:noProof/>
                <w:webHidden/>
              </w:rPr>
              <w:fldChar w:fldCharType="separate"/>
            </w:r>
            <w:r w:rsidR="00F457F7">
              <w:rPr>
                <w:noProof/>
                <w:webHidden/>
              </w:rPr>
              <w:t>8</w:t>
            </w:r>
            <w:r w:rsidR="00F700C7">
              <w:rPr>
                <w:noProof/>
                <w:webHidden/>
              </w:rPr>
              <w:fldChar w:fldCharType="end"/>
            </w:r>
          </w:hyperlink>
        </w:p>
        <w:p w14:paraId="5012922C" w14:textId="4EC31F1F" w:rsidR="00F700C7" w:rsidRDefault="005D084B" w:rsidP="00F700C7">
          <w:pPr>
            <w:pStyle w:val="TOC1"/>
            <w:numPr>
              <w:ilvl w:val="0"/>
              <w:numId w:val="0"/>
            </w:numPr>
            <w:tabs>
              <w:tab w:val="right" w:leader="dot" w:pos="9350"/>
            </w:tabs>
            <w:rPr>
              <w:rFonts w:asciiTheme="minorHAnsi" w:eastAsiaTheme="minorEastAsia" w:hAnsiTheme="minorHAnsi" w:cstheme="minorBidi"/>
              <w:noProof/>
              <w:kern w:val="2"/>
              <w:sz w:val="24"/>
              <w:szCs w:val="24"/>
              <w14:ligatures w14:val="standardContextual"/>
            </w:rPr>
          </w:pPr>
          <w:hyperlink w:anchor="_Toc194582586" w:history="1">
            <w:r w:rsidR="00F700C7" w:rsidRPr="00E857AF">
              <w:rPr>
                <w:rStyle w:val="Hyperlink"/>
                <w:noProof/>
              </w:rPr>
              <w:t>Pricing</w:t>
            </w:r>
            <w:r w:rsidR="00F700C7">
              <w:rPr>
                <w:noProof/>
                <w:webHidden/>
              </w:rPr>
              <w:tab/>
            </w:r>
            <w:r w:rsidR="00F700C7">
              <w:rPr>
                <w:noProof/>
                <w:webHidden/>
              </w:rPr>
              <w:fldChar w:fldCharType="begin"/>
            </w:r>
            <w:r w:rsidR="00F700C7">
              <w:rPr>
                <w:noProof/>
                <w:webHidden/>
              </w:rPr>
              <w:instrText xml:space="preserve"> PAGEREF _Toc194582586 \h </w:instrText>
            </w:r>
            <w:r w:rsidR="00F700C7">
              <w:rPr>
                <w:noProof/>
                <w:webHidden/>
              </w:rPr>
            </w:r>
            <w:r w:rsidR="00F700C7">
              <w:rPr>
                <w:noProof/>
                <w:webHidden/>
              </w:rPr>
              <w:fldChar w:fldCharType="separate"/>
            </w:r>
            <w:r w:rsidR="00F457F7">
              <w:rPr>
                <w:noProof/>
                <w:webHidden/>
              </w:rPr>
              <w:t>8</w:t>
            </w:r>
            <w:r w:rsidR="00F700C7">
              <w:rPr>
                <w:noProof/>
                <w:webHidden/>
              </w:rPr>
              <w:fldChar w:fldCharType="end"/>
            </w:r>
          </w:hyperlink>
        </w:p>
        <w:p w14:paraId="737E87E2" w14:textId="0F003542" w:rsidR="00F700C7" w:rsidRDefault="005D084B" w:rsidP="00640EAE">
          <w:pPr>
            <w:pStyle w:val="TOC2"/>
            <w:rPr>
              <w:rFonts w:asciiTheme="minorHAnsi" w:eastAsiaTheme="minorEastAsia" w:hAnsiTheme="minorHAnsi" w:cstheme="minorBidi"/>
              <w:kern w:val="2"/>
              <w:sz w:val="24"/>
              <w:szCs w:val="24"/>
              <w14:ligatures w14:val="standardContextual"/>
            </w:rPr>
          </w:pPr>
          <w:hyperlink w:anchor="_Toc194582587" w:history="1">
            <w:r w:rsidR="00640EAE">
              <w:rPr>
                <w:rStyle w:val="Hyperlink"/>
              </w:rPr>
              <w:t>D</w:t>
            </w:r>
            <w:r w:rsidR="00F700C7" w:rsidRPr="00E857AF">
              <w:rPr>
                <w:rStyle w:val="Hyperlink"/>
              </w:rPr>
              <w:t>efined treatment course (time limited)</w:t>
            </w:r>
            <w:r w:rsidR="00F700C7">
              <w:rPr>
                <w:webHidden/>
              </w:rPr>
              <w:tab/>
            </w:r>
            <w:r w:rsidR="00F700C7">
              <w:rPr>
                <w:webHidden/>
              </w:rPr>
              <w:fldChar w:fldCharType="begin"/>
            </w:r>
            <w:r w:rsidR="00F700C7">
              <w:rPr>
                <w:webHidden/>
              </w:rPr>
              <w:instrText xml:space="preserve"> PAGEREF _Toc194582587 \h </w:instrText>
            </w:r>
            <w:r w:rsidR="00F700C7">
              <w:rPr>
                <w:webHidden/>
              </w:rPr>
            </w:r>
            <w:r w:rsidR="00F700C7">
              <w:rPr>
                <w:webHidden/>
              </w:rPr>
              <w:fldChar w:fldCharType="separate"/>
            </w:r>
            <w:r w:rsidR="00F457F7">
              <w:rPr>
                <w:webHidden/>
              </w:rPr>
              <w:t>8</w:t>
            </w:r>
            <w:r w:rsidR="00F700C7">
              <w:rPr>
                <w:webHidden/>
              </w:rPr>
              <w:fldChar w:fldCharType="end"/>
            </w:r>
          </w:hyperlink>
        </w:p>
        <w:p w14:paraId="582FEA80" w14:textId="487A4F9F" w:rsidR="00F700C7" w:rsidRDefault="005D084B" w:rsidP="00640EAE">
          <w:pPr>
            <w:pStyle w:val="TOC2"/>
            <w:rPr>
              <w:rFonts w:asciiTheme="minorHAnsi" w:eastAsiaTheme="minorEastAsia" w:hAnsiTheme="minorHAnsi" w:cstheme="minorBidi"/>
              <w:kern w:val="2"/>
              <w:sz w:val="24"/>
              <w:szCs w:val="24"/>
              <w14:ligatures w14:val="standardContextual"/>
            </w:rPr>
          </w:pPr>
          <w:hyperlink w:anchor="_Toc194582588" w:history="1">
            <w:r w:rsidR="00640EAE">
              <w:rPr>
                <w:rStyle w:val="Hyperlink"/>
              </w:rPr>
              <w:t>U</w:t>
            </w:r>
            <w:r w:rsidR="00F700C7" w:rsidRPr="00E857AF">
              <w:rPr>
                <w:rStyle w:val="Hyperlink"/>
              </w:rPr>
              <w:t>ndefined treatment (time unlimited)</w:t>
            </w:r>
            <w:r w:rsidR="00F700C7">
              <w:rPr>
                <w:webHidden/>
              </w:rPr>
              <w:tab/>
            </w:r>
            <w:r w:rsidR="00F700C7">
              <w:rPr>
                <w:webHidden/>
              </w:rPr>
              <w:fldChar w:fldCharType="begin"/>
            </w:r>
            <w:r w:rsidR="00F700C7">
              <w:rPr>
                <w:webHidden/>
              </w:rPr>
              <w:instrText xml:space="preserve"> PAGEREF _Toc194582588 \h </w:instrText>
            </w:r>
            <w:r w:rsidR="00F700C7">
              <w:rPr>
                <w:webHidden/>
              </w:rPr>
            </w:r>
            <w:r w:rsidR="00F700C7">
              <w:rPr>
                <w:webHidden/>
              </w:rPr>
              <w:fldChar w:fldCharType="separate"/>
            </w:r>
            <w:r w:rsidR="00F457F7">
              <w:rPr>
                <w:webHidden/>
              </w:rPr>
              <w:t>8</w:t>
            </w:r>
            <w:r w:rsidR="00F700C7">
              <w:rPr>
                <w:webHidden/>
              </w:rPr>
              <w:fldChar w:fldCharType="end"/>
            </w:r>
          </w:hyperlink>
        </w:p>
        <w:p w14:paraId="41442504" w14:textId="0C076213" w:rsidR="00F700C7" w:rsidRDefault="005D084B" w:rsidP="00640EAE">
          <w:pPr>
            <w:pStyle w:val="TOC2"/>
            <w:rPr>
              <w:rFonts w:asciiTheme="minorHAnsi" w:eastAsiaTheme="minorEastAsia" w:hAnsiTheme="minorHAnsi" w:cstheme="minorBidi"/>
              <w:kern w:val="2"/>
              <w:sz w:val="24"/>
              <w:szCs w:val="24"/>
              <w14:ligatures w14:val="standardContextual"/>
            </w:rPr>
          </w:pPr>
          <w:hyperlink w:anchor="_Toc194582589" w:history="1">
            <w:r w:rsidR="00640EAE">
              <w:rPr>
                <w:rStyle w:val="Hyperlink"/>
              </w:rPr>
              <w:t>R</w:t>
            </w:r>
            <w:r w:rsidR="00F700C7" w:rsidRPr="00E857AF">
              <w:rPr>
                <w:rStyle w:val="Hyperlink"/>
              </w:rPr>
              <w:t>egimens with both defined and undefined components</w:t>
            </w:r>
            <w:r w:rsidR="00F700C7">
              <w:rPr>
                <w:webHidden/>
              </w:rPr>
              <w:tab/>
            </w:r>
            <w:r w:rsidR="00F700C7">
              <w:rPr>
                <w:webHidden/>
              </w:rPr>
              <w:fldChar w:fldCharType="begin"/>
            </w:r>
            <w:r w:rsidR="00F700C7">
              <w:rPr>
                <w:webHidden/>
              </w:rPr>
              <w:instrText xml:space="preserve"> PAGEREF _Toc194582589 \h </w:instrText>
            </w:r>
            <w:r w:rsidR="00F700C7">
              <w:rPr>
                <w:webHidden/>
              </w:rPr>
            </w:r>
            <w:r w:rsidR="00F700C7">
              <w:rPr>
                <w:webHidden/>
              </w:rPr>
              <w:fldChar w:fldCharType="separate"/>
            </w:r>
            <w:r w:rsidR="00F457F7">
              <w:rPr>
                <w:webHidden/>
              </w:rPr>
              <w:t>8</w:t>
            </w:r>
            <w:r w:rsidR="00F700C7">
              <w:rPr>
                <w:webHidden/>
              </w:rPr>
              <w:fldChar w:fldCharType="end"/>
            </w:r>
          </w:hyperlink>
        </w:p>
        <w:p w14:paraId="6E4CCF3C" w14:textId="3F818200" w:rsidR="00F700C7" w:rsidRDefault="005D084B" w:rsidP="00640EAE">
          <w:pPr>
            <w:pStyle w:val="TOC2"/>
            <w:rPr>
              <w:rFonts w:asciiTheme="minorHAnsi" w:eastAsiaTheme="minorEastAsia" w:hAnsiTheme="minorHAnsi" w:cstheme="minorBidi"/>
              <w:kern w:val="2"/>
              <w:sz w:val="24"/>
              <w:szCs w:val="24"/>
              <w14:ligatures w14:val="standardContextual"/>
            </w:rPr>
          </w:pPr>
          <w:hyperlink w:anchor="_Toc194582590" w:history="1">
            <w:r w:rsidR="00640EAE">
              <w:rPr>
                <w:rStyle w:val="Hyperlink"/>
              </w:rPr>
              <w:t>M</w:t>
            </w:r>
            <w:r w:rsidR="00F700C7" w:rsidRPr="00E857AF">
              <w:rPr>
                <w:rStyle w:val="Hyperlink"/>
              </w:rPr>
              <w:t xml:space="preserve">aintenance </w:t>
            </w:r>
            <w:r w:rsidR="00640EAE">
              <w:rPr>
                <w:rStyle w:val="Hyperlink"/>
              </w:rPr>
              <w:t>t</w:t>
            </w:r>
            <w:r w:rsidR="00F700C7" w:rsidRPr="00E857AF">
              <w:rPr>
                <w:rStyle w:val="Hyperlink"/>
              </w:rPr>
              <w:t>herapy</w:t>
            </w:r>
            <w:r w:rsidR="00F700C7">
              <w:rPr>
                <w:webHidden/>
              </w:rPr>
              <w:tab/>
            </w:r>
            <w:r w:rsidR="00F700C7">
              <w:rPr>
                <w:webHidden/>
              </w:rPr>
              <w:fldChar w:fldCharType="begin"/>
            </w:r>
            <w:r w:rsidR="00F700C7">
              <w:rPr>
                <w:webHidden/>
              </w:rPr>
              <w:instrText xml:space="preserve"> PAGEREF _Toc194582590 \h </w:instrText>
            </w:r>
            <w:r w:rsidR="00F700C7">
              <w:rPr>
                <w:webHidden/>
              </w:rPr>
            </w:r>
            <w:r w:rsidR="00F700C7">
              <w:rPr>
                <w:webHidden/>
              </w:rPr>
              <w:fldChar w:fldCharType="separate"/>
            </w:r>
            <w:r w:rsidR="00F457F7">
              <w:rPr>
                <w:webHidden/>
              </w:rPr>
              <w:t>8</w:t>
            </w:r>
            <w:r w:rsidR="00F700C7">
              <w:rPr>
                <w:webHidden/>
              </w:rPr>
              <w:fldChar w:fldCharType="end"/>
            </w:r>
          </w:hyperlink>
        </w:p>
        <w:p w14:paraId="13B72743" w14:textId="4DB9FC28" w:rsidR="00F700C7" w:rsidRDefault="005D084B" w:rsidP="00640EAE">
          <w:pPr>
            <w:pStyle w:val="TOC2"/>
            <w:rPr>
              <w:rFonts w:asciiTheme="minorHAnsi" w:eastAsiaTheme="minorEastAsia" w:hAnsiTheme="minorHAnsi" w:cstheme="minorBidi"/>
              <w:kern w:val="2"/>
              <w:sz w:val="24"/>
              <w:szCs w:val="24"/>
              <w14:ligatures w14:val="standardContextual"/>
            </w:rPr>
          </w:pPr>
          <w:hyperlink w:anchor="_Toc194582591" w:history="1">
            <w:r w:rsidR="00F700C7" w:rsidRPr="00E857AF">
              <w:rPr>
                <w:rStyle w:val="Hyperlink"/>
              </w:rPr>
              <w:t>Price extraction notes</w:t>
            </w:r>
            <w:r w:rsidR="00640EAE">
              <w:rPr>
                <w:rStyle w:val="Hyperlink"/>
              </w:rPr>
              <w:t xml:space="preserve"> (Part B, Part D, Biosimilars, CAR-T)</w:t>
            </w:r>
            <w:r w:rsidR="00F700C7">
              <w:rPr>
                <w:webHidden/>
              </w:rPr>
              <w:tab/>
            </w:r>
            <w:r w:rsidR="00F700C7">
              <w:rPr>
                <w:webHidden/>
              </w:rPr>
              <w:fldChar w:fldCharType="begin"/>
            </w:r>
            <w:r w:rsidR="00F700C7">
              <w:rPr>
                <w:webHidden/>
              </w:rPr>
              <w:instrText xml:space="preserve"> PAGEREF _Toc194582591 \h </w:instrText>
            </w:r>
            <w:r w:rsidR="00F700C7">
              <w:rPr>
                <w:webHidden/>
              </w:rPr>
            </w:r>
            <w:r w:rsidR="00F700C7">
              <w:rPr>
                <w:webHidden/>
              </w:rPr>
              <w:fldChar w:fldCharType="separate"/>
            </w:r>
            <w:r w:rsidR="00F457F7">
              <w:rPr>
                <w:webHidden/>
              </w:rPr>
              <w:t>8</w:t>
            </w:r>
            <w:r w:rsidR="00F700C7">
              <w:rPr>
                <w:webHidden/>
              </w:rPr>
              <w:fldChar w:fldCharType="end"/>
            </w:r>
          </w:hyperlink>
        </w:p>
        <w:p w14:paraId="7469EF8E" w14:textId="19A004F5" w:rsidR="00F700C7" w:rsidRDefault="005D084B" w:rsidP="00F700C7">
          <w:pPr>
            <w:pStyle w:val="TOC1"/>
            <w:numPr>
              <w:ilvl w:val="0"/>
              <w:numId w:val="0"/>
            </w:numPr>
            <w:tabs>
              <w:tab w:val="right" w:leader="dot" w:pos="9350"/>
            </w:tabs>
            <w:rPr>
              <w:rFonts w:asciiTheme="minorHAnsi" w:eastAsiaTheme="minorEastAsia" w:hAnsiTheme="minorHAnsi" w:cstheme="minorBidi"/>
              <w:noProof/>
              <w:kern w:val="2"/>
              <w:sz w:val="24"/>
              <w:szCs w:val="24"/>
              <w14:ligatures w14:val="standardContextual"/>
            </w:rPr>
          </w:pPr>
          <w:hyperlink w:anchor="_Toc194582592" w:history="1">
            <w:r w:rsidR="00F700C7" w:rsidRPr="00E857AF">
              <w:rPr>
                <w:rStyle w:val="Hyperlink"/>
                <w:noProof/>
              </w:rPr>
              <w:t>Provider Billing Margin</w:t>
            </w:r>
            <w:r w:rsidR="00F700C7">
              <w:rPr>
                <w:noProof/>
                <w:webHidden/>
              </w:rPr>
              <w:tab/>
            </w:r>
            <w:r w:rsidR="00F700C7">
              <w:rPr>
                <w:noProof/>
                <w:webHidden/>
              </w:rPr>
              <w:fldChar w:fldCharType="begin"/>
            </w:r>
            <w:r w:rsidR="00F700C7">
              <w:rPr>
                <w:noProof/>
                <w:webHidden/>
              </w:rPr>
              <w:instrText xml:space="preserve"> PAGEREF _Toc194582592 \h </w:instrText>
            </w:r>
            <w:r w:rsidR="00F700C7">
              <w:rPr>
                <w:noProof/>
                <w:webHidden/>
              </w:rPr>
            </w:r>
            <w:r w:rsidR="00F700C7">
              <w:rPr>
                <w:noProof/>
                <w:webHidden/>
              </w:rPr>
              <w:fldChar w:fldCharType="separate"/>
            </w:r>
            <w:r w:rsidR="00F457F7">
              <w:rPr>
                <w:noProof/>
                <w:webHidden/>
              </w:rPr>
              <w:t>9</w:t>
            </w:r>
            <w:r w:rsidR="00F700C7">
              <w:rPr>
                <w:noProof/>
                <w:webHidden/>
              </w:rPr>
              <w:fldChar w:fldCharType="end"/>
            </w:r>
          </w:hyperlink>
        </w:p>
        <w:p w14:paraId="1F181FF6" w14:textId="137C3749" w:rsidR="00F700C7" w:rsidRDefault="005D084B" w:rsidP="00F700C7">
          <w:pPr>
            <w:pStyle w:val="TOC1"/>
            <w:numPr>
              <w:ilvl w:val="0"/>
              <w:numId w:val="0"/>
            </w:numPr>
            <w:tabs>
              <w:tab w:val="right" w:leader="dot" w:pos="9350"/>
            </w:tabs>
            <w:rPr>
              <w:rFonts w:asciiTheme="minorHAnsi" w:eastAsiaTheme="minorEastAsia" w:hAnsiTheme="minorHAnsi" w:cstheme="minorBidi"/>
              <w:noProof/>
              <w:kern w:val="2"/>
              <w:sz w:val="24"/>
              <w:szCs w:val="24"/>
              <w14:ligatures w14:val="standardContextual"/>
            </w:rPr>
          </w:pPr>
          <w:hyperlink w:anchor="_Toc194582593" w:history="1">
            <w:r w:rsidR="00F700C7" w:rsidRPr="00E857AF">
              <w:rPr>
                <w:rStyle w:val="Hyperlink"/>
                <w:noProof/>
              </w:rPr>
              <w:t>Regimen Abbreviations (not comprehensive)</w:t>
            </w:r>
            <w:r w:rsidR="00F700C7">
              <w:rPr>
                <w:noProof/>
                <w:webHidden/>
              </w:rPr>
              <w:tab/>
            </w:r>
            <w:r w:rsidR="00F700C7">
              <w:rPr>
                <w:noProof/>
                <w:webHidden/>
              </w:rPr>
              <w:fldChar w:fldCharType="begin"/>
            </w:r>
            <w:r w:rsidR="00F700C7">
              <w:rPr>
                <w:noProof/>
                <w:webHidden/>
              </w:rPr>
              <w:instrText xml:space="preserve"> PAGEREF _Toc194582593 \h </w:instrText>
            </w:r>
            <w:r w:rsidR="00F700C7">
              <w:rPr>
                <w:noProof/>
                <w:webHidden/>
              </w:rPr>
            </w:r>
            <w:r w:rsidR="00F700C7">
              <w:rPr>
                <w:noProof/>
                <w:webHidden/>
              </w:rPr>
              <w:fldChar w:fldCharType="separate"/>
            </w:r>
            <w:r w:rsidR="00F457F7">
              <w:rPr>
                <w:noProof/>
                <w:webHidden/>
              </w:rPr>
              <w:t>10</w:t>
            </w:r>
            <w:r w:rsidR="00F700C7">
              <w:rPr>
                <w:noProof/>
                <w:webHidden/>
              </w:rPr>
              <w:fldChar w:fldCharType="end"/>
            </w:r>
          </w:hyperlink>
        </w:p>
        <w:p w14:paraId="7B8EE021" w14:textId="7E76B5CE" w:rsidR="00F700C7" w:rsidRDefault="005D084B" w:rsidP="00F700C7">
          <w:pPr>
            <w:pStyle w:val="TOC1"/>
            <w:numPr>
              <w:ilvl w:val="0"/>
              <w:numId w:val="0"/>
            </w:numPr>
            <w:tabs>
              <w:tab w:val="right" w:leader="dot" w:pos="9350"/>
            </w:tabs>
            <w:rPr>
              <w:rFonts w:asciiTheme="minorHAnsi" w:eastAsiaTheme="minorEastAsia" w:hAnsiTheme="minorHAnsi" w:cstheme="minorBidi"/>
              <w:noProof/>
              <w:kern w:val="2"/>
              <w:sz w:val="24"/>
              <w:szCs w:val="24"/>
              <w14:ligatures w14:val="standardContextual"/>
            </w:rPr>
          </w:pPr>
          <w:hyperlink w:anchor="_Toc194582594" w:history="1">
            <w:r w:rsidR="00F700C7" w:rsidRPr="00E857AF">
              <w:rPr>
                <w:rStyle w:val="Hyperlink"/>
                <w:noProof/>
              </w:rPr>
              <w:t xml:space="preserve">Initial NCCN Evidence Blocks </w:t>
            </w:r>
            <w:r w:rsidR="00640EAE">
              <w:rPr>
                <w:rStyle w:val="Hyperlink"/>
                <w:noProof/>
              </w:rPr>
              <w:t>A</w:t>
            </w:r>
            <w:r w:rsidR="00F700C7" w:rsidRPr="00E857AF">
              <w:rPr>
                <w:rStyle w:val="Hyperlink"/>
                <w:noProof/>
              </w:rPr>
              <w:t xml:space="preserve">ppearance and </w:t>
            </w:r>
            <w:r w:rsidR="00640EAE">
              <w:rPr>
                <w:rStyle w:val="Hyperlink"/>
                <w:noProof/>
              </w:rPr>
              <w:t>I</w:t>
            </w:r>
            <w:r w:rsidR="00F700C7" w:rsidRPr="00E857AF">
              <w:rPr>
                <w:rStyle w:val="Hyperlink"/>
                <w:noProof/>
              </w:rPr>
              <w:t>nclusion in Framework</w:t>
            </w:r>
            <w:r w:rsidR="00F700C7">
              <w:rPr>
                <w:noProof/>
                <w:webHidden/>
              </w:rPr>
              <w:tab/>
            </w:r>
            <w:r w:rsidR="00F700C7">
              <w:rPr>
                <w:noProof/>
                <w:webHidden/>
              </w:rPr>
              <w:fldChar w:fldCharType="begin"/>
            </w:r>
            <w:r w:rsidR="00F700C7">
              <w:rPr>
                <w:noProof/>
                <w:webHidden/>
              </w:rPr>
              <w:instrText xml:space="preserve"> PAGEREF _Toc194582594 \h </w:instrText>
            </w:r>
            <w:r w:rsidR="00F700C7">
              <w:rPr>
                <w:noProof/>
                <w:webHidden/>
              </w:rPr>
            </w:r>
            <w:r w:rsidR="00F700C7">
              <w:rPr>
                <w:noProof/>
                <w:webHidden/>
              </w:rPr>
              <w:fldChar w:fldCharType="separate"/>
            </w:r>
            <w:r w:rsidR="00F457F7">
              <w:rPr>
                <w:noProof/>
                <w:webHidden/>
              </w:rPr>
              <w:t>12</w:t>
            </w:r>
            <w:r w:rsidR="00F700C7">
              <w:rPr>
                <w:noProof/>
                <w:webHidden/>
              </w:rPr>
              <w:fldChar w:fldCharType="end"/>
            </w:r>
          </w:hyperlink>
        </w:p>
        <w:p w14:paraId="333941EF" w14:textId="782F62E4" w:rsidR="00F700C7" w:rsidRDefault="005D084B" w:rsidP="00F700C7">
          <w:pPr>
            <w:pStyle w:val="TOC1"/>
            <w:numPr>
              <w:ilvl w:val="0"/>
              <w:numId w:val="0"/>
            </w:numPr>
            <w:tabs>
              <w:tab w:val="right" w:leader="dot" w:pos="9350"/>
            </w:tabs>
            <w:rPr>
              <w:rFonts w:asciiTheme="minorHAnsi" w:eastAsiaTheme="minorEastAsia" w:hAnsiTheme="minorHAnsi" w:cstheme="minorBidi"/>
              <w:noProof/>
              <w:kern w:val="2"/>
              <w:sz w:val="24"/>
              <w:szCs w:val="24"/>
              <w14:ligatures w14:val="standardContextual"/>
            </w:rPr>
          </w:pPr>
          <w:hyperlink w:anchor="_Toc194582595" w:history="1">
            <w:r w:rsidR="00F700C7" w:rsidRPr="00E857AF">
              <w:rPr>
                <w:rStyle w:val="Hyperlink"/>
                <w:noProof/>
              </w:rPr>
              <w:t>Peer-</w:t>
            </w:r>
            <w:r w:rsidR="00640EAE">
              <w:rPr>
                <w:rStyle w:val="Hyperlink"/>
                <w:noProof/>
              </w:rPr>
              <w:t>R</w:t>
            </w:r>
            <w:r w:rsidR="00F700C7" w:rsidRPr="00E857AF">
              <w:rPr>
                <w:rStyle w:val="Hyperlink"/>
                <w:noProof/>
              </w:rPr>
              <w:t xml:space="preserve">eviewed </w:t>
            </w:r>
            <w:r w:rsidR="00640EAE">
              <w:rPr>
                <w:rStyle w:val="Hyperlink"/>
                <w:noProof/>
              </w:rPr>
              <w:t>S</w:t>
            </w:r>
            <w:r w:rsidR="00F700C7" w:rsidRPr="00E857AF">
              <w:rPr>
                <w:rStyle w:val="Hyperlink"/>
                <w:noProof/>
              </w:rPr>
              <w:t xml:space="preserve">tudies </w:t>
            </w:r>
            <w:r w:rsidR="00640EAE">
              <w:rPr>
                <w:rStyle w:val="Hyperlink"/>
                <w:noProof/>
              </w:rPr>
              <w:t>U</w:t>
            </w:r>
            <w:r w:rsidR="00F700C7" w:rsidRPr="00E857AF">
              <w:rPr>
                <w:rStyle w:val="Hyperlink"/>
                <w:noProof/>
              </w:rPr>
              <w:t>sing Framework</w:t>
            </w:r>
            <w:r w:rsidR="00F700C7">
              <w:rPr>
                <w:noProof/>
                <w:webHidden/>
              </w:rPr>
              <w:tab/>
            </w:r>
            <w:r w:rsidR="00F700C7">
              <w:rPr>
                <w:noProof/>
                <w:webHidden/>
              </w:rPr>
              <w:fldChar w:fldCharType="begin"/>
            </w:r>
            <w:r w:rsidR="00F700C7">
              <w:rPr>
                <w:noProof/>
                <w:webHidden/>
              </w:rPr>
              <w:instrText xml:space="preserve"> PAGEREF _Toc194582595 \h </w:instrText>
            </w:r>
            <w:r w:rsidR="00F700C7">
              <w:rPr>
                <w:noProof/>
                <w:webHidden/>
              </w:rPr>
            </w:r>
            <w:r w:rsidR="00F700C7">
              <w:rPr>
                <w:noProof/>
                <w:webHidden/>
              </w:rPr>
              <w:fldChar w:fldCharType="separate"/>
            </w:r>
            <w:r w:rsidR="00F457F7">
              <w:rPr>
                <w:noProof/>
                <w:webHidden/>
              </w:rPr>
              <w:t>13</w:t>
            </w:r>
            <w:r w:rsidR="00F700C7">
              <w:rPr>
                <w:noProof/>
                <w:webHidden/>
              </w:rPr>
              <w:fldChar w:fldCharType="end"/>
            </w:r>
          </w:hyperlink>
        </w:p>
        <w:p w14:paraId="36A32FB0" w14:textId="72ECAC8B" w:rsidR="00F700C7" w:rsidRDefault="005D084B" w:rsidP="00F700C7">
          <w:pPr>
            <w:pStyle w:val="TOC1"/>
            <w:numPr>
              <w:ilvl w:val="0"/>
              <w:numId w:val="0"/>
            </w:numPr>
            <w:tabs>
              <w:tab w:val="right" w:leader="dot" w:pos="9350"/>
            </w:tabs>
            <w:rPr>
              <w:rFonts w:asciiTheme="minorHAnsi" w:eastAsiaTheme="minorEastAsia" w:hAnsiTheme="minorHAnsi" w:cstheme="minorBidi"/>
              <w:noProof/>
              <w:kern w:val="2"/>
              <w:sz w:val="24"/>
              <w:szCs w:val="24"/>
              <w14:ligatures w14:val="standardContextual"/>
            </w:rPr>
          </w:pPr>
          <w:hyperlink w:anchor="_Toc194582596" w:history="1">
            <w:r w:rsidR="00F700C7" w:rsidRPr="00E857AF">
              <w:rPr>
                <w:rStyle w:val="Hyperlink"/>
                <w:noProof/>
              </w:rPr>
              <w:t>Case-Specific Notes &amp; Decisions</w:t>
            </w:r>
            <w:r w:rsidR="00F700C7">
              <w:rPr>
                <w:noProof/>
                <w:webHidden/>
              </w:rPr>
              <w:tab/>
            </w:r>
            <w:r w:rsidR="00F700C7">
              <w:rPr>
                <w:noProof/>
                <w:webHidden/>
              </w:rPr>
              <w:fldChar w:fldCharType="begin"/>
            </w:r>
            <w:r w:rsidR="00F700C7">
              <w:rPr>
                <w:noProof/>
                <w:webHidden/>
              </w:rPr>
              <w:instrText xml:space="preserve"> PAGEREF _Toc194582596 \h </w:instrText>
            </w:r>
            <w:r w:rsidR="00F700C7">
              <w:rPr>
                <w:noProof/>
                <w:webHidden/>
              </w:rPr>
            </w:r>
            <w:r w:rsidR="00F700C7">
              <w:rPr>
                <w:noProof/>
                <w:webHidden/>
              </w:rPr>
              <w:fldChar w:fldCharType="separate"/>
            </w:r>
            <w:r w:rsidR="00F457F7">
              <w:rPr>
                <w:noProof/>
                <w:webHidden/>
              </w:rPr>
              <w:t>14</w:t>
            </w:r>
            <w:r w:rsidR="00F700C7">
              <w:rPr>
                <w:noProof/>
                <w:webHidden/>
              </w:rPr>
              <w:fldChar w:fldCharType="end"/>
            </w:r>
          </w:hyperlink>
        </w:p>
        <w:p w14:paraId="2D693FD1" w14:textId="45236716" w:rsidR="00F700C7" w:rsidRDefault="005D084B" w:rsidP="00F700C7">
          <w:pPr>
            <w:pStyle w:val="TOC1"/>
            <w:numPr>
              <w:ilvl w:val="0"/>
              <w:numId w:val="0"/>
            </w:numPr>
            <w:tabs>
              <w:tab w:val="right" w:leader="dot" w:pos="9350"/>
            </w:tabs>
            <w:rPr>
              <w:rFonts w:asciiTheme="minorHAnsi" w:eastAsiaTheme="minorEastAsia" w:hAnsiTheme="minorHAnsi" w:cstheme="minorBidi"/>
              <w:noProof/>
              <w:kern w:val="2"/>
              <w:sz w:val="24"/>
              <w:szCs w:val="24"/>
              <w14:ligatures w14:val="standardContextual"/>
            </w:rPr>
          </w:pPr>
          <w:hyperlink w:anchor="_Toc194582597" w:history="1">
            <w:r w:rsidR="00F700C7" w:rsidRPr="00E857AF">
              <w:rPr>
                <w:rStyle w:val="Hyperlink"/>
                <w:noProof/>
              </w:rPr>
              <w:t>Supportive Care</w:t>
            </w:r>
            <w:r w:rsidR="00F700C7">
              <w:rPr>
                <w:noProof/>
                <w:webHidden/>
              </w:rPr>
              <w:tab/>
            </w:r>
            <w:r w:rsidR="00F700C7">
              <w:rPr>
                <w:noProof/>
                <w:webHidden/>
              </w:rPr>
              <w:fldChar w:fldCharType="begin"/>
            </w:r>
            <w:r w:rsidR="00F700C7">
              <w:rPr>
                <w:noProof/>
                <w:webHidden/>
              </w:rPr>
              <w:instrText xml:space="preserve"> PAGEREF _Toc194582597 \h </w:instrText>
            </w:r>
            <w:r w:rsidR="00F700C7">
              <w:rPr>
                <w:noProof/>
                <w:webHidden/>
              </w:rPr>
            </w:r>
            <w:r w:rsidR="00F700C7">
              <w:rPr>
                <w:noProof/>
                <w:webHidden/>
              </w:rPr>
              <w:fldChar w:fldCharType="separate"/>
            </w:r>
            <w:r w:rsidR="00F457F7">
              <w:rPr>
                <w:noProof/>
                <w:webHidden/>
              </w:rPr>
              <w:t>24</w:t>
            </w:r>
            <w:r w:rsidR="00F700C7">
              <w:rPr>
                <w:noProof/>
                <w:webHidden/>
              </w:rPr>
              <w:fldChar w:fldCharType="end"/>
            </w:r>
          </w:hyperlink>
        </w:p>
        <w:p w14:paraId="39C1F657" w14:textId="177F2E29" w:rsidR="00F700C7" w:rsidRDefault="005D084B" w:rsidP="00F700C7">
          <w:pPr>
            <w:pStyle w:val="TOC1"/>
            <w:numPr>
              <w:ilvl w:val="0"/>
              <w:numId w:val="0"/>
            </w:numPr>
            <w:tabs>
              <w:tab w:val="right" w:leader="dot" w:pos="9350"/>
            </w:tabs>
            <w:rPr>
              <w:rFonts w:asciiTheme="minorHAnsi" w:eastAsiaTheme="minorEastAsia" w:hAnsiTheme="minorHAnsi" w:cstheme="minorBidi"/>
              <w:noProof/>
              <w:kern w:val="2"/>
              <w:sz w:val="24"/>
              <w:szCs w:val="24"/>
              <w14:ligatures w14:val="standardContextual"/>
            </w:rPr>
          </w:pPr>
          <w:hyperlink w:anchor="_Toc194582598" w:history="1">
            <w:r w:rsidR="00F700C7" w:rsidRPr="00E857AF">
              <w:rPr>
                <w:rStyle w:val="Hyperlink"/>
                <w:noProof/>
              </w:rPr>
              <w:t>Excluded Treatment Regimens</w:t>
            </w:r>
            <w:r w:rsidR="00F700C7">
              <w:rPr>
                <w:noProof/>
                <w:webHidden/>
              </w:rPr>
              <w:tab/>
            </w:r>
            <w:r w:rsidR="00F700C7">
              <w:rPr>
                <w:noProof/>
                <w:webHidden/>
              </w:rPr>
              <w:fldChar w:fldCharType="begin"/>
            </w:r>
            <w:r w:rsidR="00F700C7">
              <w:rPr>
                <w:noProof/>
                <w:webHidden/>
              </w:rPr>
              <w:instrText xml:space="preserve"> PAGEREF _Toc194582598 \h </w:instrText>
            </w:r>
            <w:r w:rsidR="00F700C7">
              <w:rPr>
                <w:noProof/>
                <w:webHidden/>
              </w:rPr>
            </w:r>
            <w:r w:rsidR="00F700C7">
              <w:rPr>
                <w:noProof/>
                <w:webHidden/>
              </w:rPr>
              <w:fldChar w:fldCharType="separate"/>
            </w:r>
            <w:r w:rsidR="00F457F7">
              <w:rPr>
                <w:noProof/>
                <w:webHidden/>
              </w:rPr>
              <w:t>24</w:t>
            </w:r>
            <w:r w:rsidR="00F700C7">
              <w:rPr>
                <w:noProof/>
                <w:webHidden/>
              </w:rPr>
              <w:fldChar w:fldCharType="end"/>
            </w:r>
          </w:hyperlink>
        </w:p>
        <w:p w14:paraId="39CC4307" w14:textId="61143109" w:rsidR="00230BAB" w:rsidRDefault="00F73F07" w:rsidP="00230BAB">
          <w:pPr>
            <w:numPr>
              <w:ilvl w:val="0"/>
              <w:numId w:val="0"/>
            </w:numPr>
            <w:rPr>
              <w:b/>
              <w:bCs/>
              <w:noProof/>
            </w:rPr>
          </w:pPr>
          <w:r>
            <w:rPr>
              <w:b/>
              <w:bCs/>
              <w:noProof/>
            </w:rPr>
            <w:fldChar w:fldCharType="end"/>
          </w:r>
        </w:p>
      </w:sdtContent>
    </w:sdt>
    <w:p w14:paraId="30C5A3FD" w14:textId="4B2927CB" w:rsidR="001E4800" w:rsidRDefault="001E4800">
      <w:pPr>
        <w:numPr>
          <w:ilvl w:val="0"/>
          <w:numId w:val="0"/>
        </w:numPr>
        <w:spacing w:after="160" w:line="259" w:lineRule="auto"/>
        <w:rPr>
          <w:rStyle w:val="SubtleEmphasis"/>
          <w:i w:val="0"/>
          <w:iCs w:val="0"/>
          <w:color w:val="auto"/>
          <w:sz w:val="24"/>
          <w:szCs w:val="24"/>
          <w:u w:val="single"/>
        </w:rPr>
      </w:pPr>
      <w:r>
        <w:rPr>
          <w:rStyle w:val="SubtleEmphasis"/>
          <w:i w:val="0"/>
          <w:iCs w:val="0"/>
          <w:color w:val="auto"/>
          <w:sz w:val="24"/>
          <w:szCs w:val="24"/>
          <w:u w:val="single"/>
        </w:rPr>
        <w:br w:type="page"/>
      </w:r>
    </w:p>
    <w:p w14:paraId="04E87097" w14:textId="18202810" w:rsidR="0055689D" w:rsidRPr="00A24CC9" w:rsidRDefault="00EF13FC" w:rsidP="00A24CC9">
      <w:pPr>
        <w:pStyle w:val="Heading1"/>
        <w:numPr>
          <w:ilvl w:val="0"/>
          <w:numId w:val="0"/>
        </w:numPr>
        <w:rPr>
          <w:rStyle w:val="SubtleEmphasis"/>
          <w:rFonts w:ascii="Arial" w:hAnsi="Arial" w:cs="Arial"/>
          <w:i w:val="0"/>
          <w:iCs w:val="0"/>
          <w:color w:val="auto"/>
          <w:u w:val="single"/>
        </w:rPr>
      </w:pPr>
      <w:bookmarkStart w:id="0" w:name="_Toc194582567"/>
      <w:r w:rsidRPr="00A24CC9">
        <w:rPr>
          <w:rStyle w:val="SubtleEmphasis"/>
          <w:rFonts w:ascii="Arial" w:hAnsi="Arial" w:cs="Arial"/>
          <w:i w:val="0"/>
          <w:iCs w:val="0"/>
          <w:color w:val="auto"/>
          <w:u w:val="single"/>
        </w:rPr>
        <w:lastRenderedPageBreak/>
        <w:t>Use of Framework files</w:t>
      </w:r>
      <w:r w:rsidR="00807D56" w:rsidRPr="00A24CC9">
        <w:rPr>
          <w:rStyle w:val="SubtleEmphasis"/>
          <w:rFonts w:ascii="Arial" w:hAnsi="Arial" w:cs="Arial"/>
          <w:i w:val="0"/>
          <w:iCs w:val="0"/>
          <w:color w:val="auto"/>
          <w:u w:val="single"/>
        </w:rPr>
        <w:t>, permissions, and disclaimers</w:t>
      </w:r>
      <w:bookmarkEnd w:id="0"/>
    </w:p>
    <w:p w14:paraId="38830C15" w14:textId="7024BF63" w:rsidR="00EF13FC" w:rsidRDefault="00EF13FC" w:rsidP="00230BAB">
      <w:pPr>
        <w:numPr>
          <w:ilvl w:val="0"/>
          <w:numId w:val="0"/>
        </w:numPr>
        <w:rPr>
          <w:rStyle w:val="SubtleEmphasis"/>
          <w:i w:val="0"/>
          <w:iCs w:val="0"/>
          <w:color w:val="auto"/>
          <w:sz w:val="24"/>
          <w:szCs w:val="24"/>
        </w:rPr>
      </w:pPr>
      <w:r>
        <w:rPr>
          <w:rStyle w:val="SubtleEmphasis"/>
          <w:i w:val="0"/>
          <w:iCs w:val="0"/>
          <w:color w:val="auto"/>
          <w:sz w:val="24"/>
          <w:szCs w:val="24"/>
        </w:rPr>
        <w:t xml:space="preserve">These files are being made openly available for research use. </w:t>
      </w:r>
    </w:p>
    <w:p w14:paraId="41056415" w14:textId="30CDF6D5" w:rsidR="00EF13FC" w:rsidRDefault="00EF13FC" w:rsidP="00230BAB">
      <w:pPr>
        <w:numPr>
          <w:ilvl w:val="0"/>
          <w:numId w:val="0"/>
        </w:numPr>
        <w:rPr>
          <w:rStyle w:val="SubtleEmphasis"/>
          <w:i w:val="0"/>
          <w:iCs w:val="0"/>
          <w:color w:val="auto"/>
          <w:sz w:val="24"/>
          <w:szCs w:val="24"/>
        </w:rPr>
      </w:pPr>
      <w:r>
        <w:rPr>
          <w:rStyle w:val="SubtleEmphasis"/>
          <w:i w:val="0"/>
          <w:iCs w:val="0"/>
          <w:color w:val="auto"/>
          <w:sz w:val="24"/>
          <w:szCs w:val="24"/>
        </w:rPr>
        <w:t xml:space="preserve">Any publications using this resource should </w:t>
      </w:r>
      <w:r w:rsidR="00807D56">
        <w:rPr>
          <w:rStyle w:val="SubtleEmphasis"/>
          <w:i w:val="0"/>
          <w:iCs w:val="0"/>
          <w:color w:val="auto"/>
          <w:sz w:val="24"/>
          <w:szCs w:val="24"/>
        </w:rPr>
        <w:t xml:space="preserve">cite it by DOI: </w:t>
      </w:r>
      <w:r w:rsidR="00807D56" w:rsidRPr="00807D56">
        <w:rPr>
          <w:rStyle w:val="SubtleEmphasis"/>
          <w:b/>
          <w:bCs/>
          <w:i w:val="0"/>
          <w:iCs w:val="0"/>
          <w:color w:val="auto"/>
          <w:sz w:val="24"/>
          <w:szCs w:val="24"/>
        </w:rPr>
        <w:t>10.5281/zenodo.15101778</w:t>
      </w:r>
      <w:r w:rsidR="00807D56">
        <w:rPr>
          <w:rStyle w:val="SubtleEmphasis"/>
          <w:i w:val="0"/>
          <w:iCs w:val="0"/>
          <w:color w:val="auto"/>
          <w:sz w:val="24"/>
          <w:szCs w:val="24"/>
        </w:rPr>
        <w:t xml:space="preserve"> </w:t>
      </w:r>
    </w:p>
    <w:p w14:paraId="09E52D47" w14:textId="77777777" w:rsidR="00807D56" w:rsidRDefault="00807D56" w:rsidP="00230BAB">
      <w:pPr>
        <w:numPr>
          <w:ilvl w:val="0"/>
          <w:numId w:val="0"/>
        </w:numPr>
        <w:rPr>
          <w:rStyle w:val="SubtleEmphasis"/>
          <w:i w:val="0"/>
          <w:iCs w:val="0"/>
          <w:color w:val="auto"/>
          <w:sz w:val="24"/>
          <w:szCs w:val="24"/>
        </w:rPr>
      </w:pPr>
    </w:p>
    <w:p w14:paraId="3941169C" w14:textId="082FD3EF" w:rsidR="00973FB3" w:rsidRDefault="00973FB3" w:rsidP="00230BAB">
      <w:pPr>
        <w:numPr>
          <w:ilvl w:val="0"/>
          <w:numId w:val="0"/>
        </w:numPr>
        <w:rPr>
          <w:rStyle w:val="SubtleEmphasis"/>
          <w:i w:val="0"/>
          <w:iCs w:val="0"/>
          <w:color w:val="auto"/>
          <w:sz w:val="24"/>
          <w:szCs w:val="24"/>
        </w:rPr>
      </w:pPr>
      <w:r>
        <w:rPr>
          <w:rStyle w:val="SubtleEmphasis"/>
          <w:i w:val="0"/>
          <w:iCs w:val="0"/>
          <w:color w:val="auto"/>
          <w:sz w:val="24"/>
          <w:szCs w:val="24"/>
        </w:rPr>
        <w:t xml:space="preserve">Please note that </w:t>
      </w:r>
      <w:r w:rsidRPr="005D084B">
        <w:rPr>
          <w:rStyle w:val="SubtleEmphasis"/>
          <w:i w:val="0"/>
          <w:iCs w:val="0"/>
          <w:color w:val="auto"/>
          <w:sz w:val="24"/>
          <w:szCs w:val="24"/>
          <w:highlight w:val="yellow"/>
          <w:u w:val="single"/>
        </w:rPr>
        <w:t xml:space="preserve">only the </w:t>
      </w:r>
      <w:r w:rsidRPr="005D084B">
        <w:rPr>
          <w:rStyle w:val="SubtleEmphasis"/>
          <w:b/>
          <w:bCs/>
          <w:i w:val="0"/>
          <w:iCs w:val="0"/>
          <w:color w:val="auto"/>
          <w:sz w:val="24"/>
          <w:szCs w:val="24"/>
          <w:highlight w:val="yellow"/>
          <w:u w:val="single"/>
        </w:rPr>
        <w:t>first tab</w:t>
      </w:r>
      <w:r w:rsidRPr="005D084B">
        <w:rPr>
          <w:rStyle w:val="SubtleEmphasis"/>
          <w:i w:val="0"/>
          <w:iCs w:val="0"/>
          <w:color w:val="auto"/>
          <w:sz w:val="24"/>
          <w:szCs w:val="24"/>
          <w:highlight w:val="yellow"/>
          <w:u w:val="single"/>
        </w:rPr>
        <w:t xml:space="preserve"> of each spreadsheet contains final analytic variables</w:t>
      </w:r>
      <w:r>
        <w:rPr>
          <w:rStyle w:val="SubtleEmphasis"/>
          <w:i w:val="0"/>
          <w:iCs w:val="0"/>
          <w:color w:val="auto"/>
          <w:sz w:val="24"/>
          <w:szCs w:val="24"/>
        </w:rPr>
        <w:t xml:space="preserve">. Subsequent tabs contain intermediate / “scratch” work, which may be incomplete or obsolete. </w:t>
      </w:r>
    </w:p>
    <w:p w14:paraId="43660974" w14:textId="77777777" w:rsidR="00973FB3" w:rsidRDefault="00973FB3" w:rsidP="00230BAB">
      <w:pPr>
        <w:numPr>
          <w:ilvl w:val="0"/>
          <w:numId w:val="0"/>
        </w:numPr>
        <w:rPr>
          <w:rStyle w:val="SubtleEmphasis"/>
          <w:i w:val="0"/>
          <w:iCs w:val="0"/>
          <w:color w:val="auto"/>
          <w:sz w:val="24"/>
          <w:szCs w:val="24"/>
        </w:rPr>
      </w:pPr>
    </w:p>
    <w:p w14:paraId="74D00B49" w14:textId="31CB85E2" w:rsidR="00807D56" w:rsidRDefault="00807D56" w:rsidP="00230BAB">
      <w:pPr>
        <w:numPr>
          <w:ilvl w:val="0"/>
          <w:numId w:val="0"/>
        </w:numPr>
        <w:rPr>
          <w:rStyle w:val="SubtleEmphasis"/>
          <w:i w:val="0"/>
          <w:iCs w:val="0"/>
          <w:color w:val="auto"/>
          <w:sz w:val="24"/>
          <w:szCs w:val="24"/>
        </w:rPr>
      </w:pPr>
      <w:r>
        <w:rPr>
          <w:rStyle w:val="SubtleEmphasis"/>
          <w:i w:val="0"/>
          <w:iCs w:val="0"/>
          <w:color w:val="auto"/>
          <w:sz w:val="24"/>
          <w:szCs w:val="24"/>
        </w:rPr>
        <w:t>In addition, we ask that any users reference and cite the initial research studies developing and applying the Framework:</w:t>
      </w:r>
    </w:p>
    <w:p w14:paraId="6F02BE6C" w14:textId="77777777" w:rsidR="00807D56" w:rsidRDefault="00807D56" w:rsidP="00230BAB">
      <w:pPr>
        <w:numPr>
          <w:ilvl w:val="0"/>
          <w:numId w:val="0"/>
        </w:numPr>
        <w:rPr>
          <w:rStyle w:val="SubtleEmphasis"/>
          <w:i w:val="0"/>
          <w:iCs w:val="0"/>
          <w:color w:val="auto"/>
          <w:sz w:val="24"/>
          <w:szCs w:val="24"/>
        </w:rPr>
      </w:pPr>
    </w:p>
    <w:p w14:paraId="3AF5E0AC" w14:textId="7C0EF428" w:rsidR="00807D56" w:rsidRPr="00973FB3" w:rsidRDefault="00807D56" w:rsidP="00973FB3">
      <w:pPr>
        <w:pStyle w:val="ListParagraph"/>
        <w:numPr>
          <w:ilvl w:val="0"/>
          <w:numId w:val="27"/>
        </w:numPr>
        <w:rPr>
          <w:rStyle w:val="SubtleEmphasis"/>
          <w:i w:val="0"/>
          <w:iCs w:val="0"/>
          <w:color w:val="auto"/>
          <w:sz w:val="24"/>
          <w:szCs w:val="24"/>
        </w:rPr>
      </w:pPr>
      <w:r w:rsidRPr="005C5B89">
        <w:rPr>
          <w:sz w:val="24"/>
          <w:szCs w:val="24"/>
        </w:rPr>
        <w:t>Quality of Treatment Selection for Medicare Beneficiaries With Cancer. PMID: 39393041</w:t>
      </w:r>
    </w:p>
    <w:p w14:paraId="59032239" w14:textId="4816CCEA" w:rsidR="00807D56" w:rsidRPr="00973FB3" w:rsidRDefault="00807D56" w:rsidP="00973FB3">
      <w:pPr>
        <w:pStyle w:val="ListParagraph"/>
        <w:numPr>
          <w:ilvl w:val="0"/>
          <w:numId w:val="27"/>
        </w:numPr>
        <w:rPr>
          <w:sz w:val="24"/>
          <w:szCs w:val="24"/>
        </w:rPr>
      </w:pPr>
      <w:r w:rsidRPr="005C5B89">
        <w:rPr>
          <w:sz w:val="24"/>
          <w:szCs w:val="24"/>
        </w:rPr>
        <w:t>The Accuracy and Usefulness of the National Comprehensive Cancer Network Evidence Blocks Affordability Rating. PMID: 32201922 PMCID: PMC8357422</w:t>
      </w:r>
    </w:p>
    <w:p w14:paraId="71D3340C" w14:textId="6B92C601" w:rsidR="00807D56" w:rsidRPr="005C5B89" w:rsidRDefault="00807D56" w:rsidP="005C5B89">
      <w:pPr>
        <w:pStyle w:val="ListParagraph"/>
        <w:numPr>
          <w:ilvl w:val="0"/>
          <w:numId w:val="27"/>
        </w:numPr>
        <w:rPr>
          <w:sz w:val="24"/>
          <w:szCs w:val="24"/>
        </w:rPr>
      </w:pPr>
      <w:r w:rsidRPr="005C5B89">
        <w:rPr>
          <w:sz w:val="24"/>
          <w:szCs w:val="24"/>
        </w:rPr>
        <w:t>Association Between Clinical Value and Financial Cost of Cancer Treatments: A Cross-Sectional Analysis. PMID: 33022648 PMCID: PMC8354655</w:t>
      </w:r>
    </w:p>
    <w:p w14:paraId="4E80B249" w14:textId="77777777" w:rsidR="00807D56" w:rsidRPr="00807D56" w:rsidRDefault="00807D56" w:rsidP="00807D56">
      <w:pPr>
        <w:numPr>
          <w:ilvl w:val="0"/>
          <w:numId w:val="0"/>
        </w:numPr>
        <w:rPr>
          <w:sz w:val="24"/>
          <w:szCs w:val="24"/>
        </w:rPr>
      </w:pPr>
    </w:p>
    <w:p w14:paraId="39EE2925" w14:textId="57D8A9A2" w:rsidR="00807D56" w:rsidRDefault="00807D56" w:rsidP="00230BAB">
      <w:pPr>
        <w:numPr>
          <w:ilvl w:val="0"/>
          <w:numId w:val="0"/>
        </w:numPr>
        <w:rPr>
          <w:rStyle w:val="SubtleEmphasis"/>
          <w:i w:val="0"/>
          <w:iCs w:val="0"/>
          <w:color w:val="auto"/>
          <w:sz w:val="24"/>
          <w:szCs w:val="24"/>
        </w:rPr>
      </w:pPr>
      <w:r w:rsidRPr="005D084B">
        <w:rPr>
          <w:rStyle w:val="SubtleEmphasis"/>
          <w:b/>
          <w:bCs/>
          <w:i w:val="0"/>
          <w:iCs w:val="0"/>
          <w:color w:val="auto"/>
          <w:sz w:val="24"/>
          <w:szCs w:val="24"/>
          <w:highlight w:val="yellow"/>
          <w:u w:val="single"/>
        </w:rPr>
        <w:t>The Framework data files are highly complex</w:t>
      </w:r>
      <w:r>
        <w:rPr>
          <w:rStyle w:val="SubtleEmphasis"/>
          <w:i w:val="0"/>
          <w:iCs w:val="0"/>
          <w:color w:val="auto"/>
          <w:sz w:val="24"/>
          <w:szCs w:val="24"/>
        </w:rPr>
        <w:t xml:space="preserve">, reflecting the underlying complexity and continually evolving nature of oncology clinical practice and clinical evidence. The abstraction of clinical practice guidelines into discreet data elements has often involved assumptions and simplifications. </w:t>
      </w:r>
      <w:r w:rsidRPr="00274A6C">
        <w:rPr>
          <w:rStyle w:val="SubtleEmphasis"/>
          <w:i w:val="0"/>
          <w:iCs w:val="0"/>
          <w:color w:val="auto"/>
          <w:sz w:val="24"/>
          <w:szCs w:val="24"/>
          <w:u w:val="single"/>
        </w:rPr>
        <w:t xml:space="preserve">Any researchers considering using the Framework are highly encouraged to </w:t>
      </w:r>
      <w:r w:rsidR="00274A6C" w:rsidRPr="00274A6C">
        <w:rPr>
          <w:rStyle w:val="SubtleEmphasis"/>
          <w:i w:val="0"/>
          <w:iCs w:val="0"/>
          <w:color w:val="auto"/>
          <w:sz w:val="24"/>
          <w:szCs w:val="24"/>
          <w:u w:val="single"/>
        </w:rPr>
        <w:t>reach out ahead of time</w:t>
      </w:r>
      <w:r w:rsidR="00274A6C">
        <w:rPr>
          <w:rStyle w:val="SubtleEmphasis"/>
          <w:i w:val="0"/>
          <w:iCs w:val="0"/>
          <w:color w:val="auto"/>
          <w:sz w:val="24"/>
          <w:szCs w:val="24"/>
        </w:rPr>
        <w:t>! We anticipate that discussion with the Framework development team will help facilitate ease of use, and avoid errors or misapplications. The goal is effective collaboration. First point of contact is study PI Dr. Aaron Mitchell:</w:t>
      </w:r>
    </w:p>
    <w:p w14:paraId="7F109A10" w14:textId="601C0C06" w:rsidR="00807D56" w:rsidRPr="00807D56" w:rsidRDefault="005D084B" w:rsidP="00230BAB">
      <w:pPr>
        <w:numPr>
          <w:ilvl w:val="0"/>
          <w:numId w:val="0"/>
        </w:numPr>
        <w:rPr>
          <w:rStyle w:val="SubtleEmphasis"/>
          <w:i w:val="0"/>
          <w:iCs w:val="0"/>
          <w:color w:val="auto"/>
          <w:sz w:val="24"/>
          <w:szCs w:val="24"/>
        </w:rPr>
      </w:pPr>
      <w:hyperlink r:id="rId11" w:history="1">
        <w:r w:rsidR="00274A6C" w:rsidRPr="00FA5519">
          <w:rPr>
            <w:rStyle w:val="Hyperlink"/>
            <w:sz w:val="24"/>
            <w:szCs w:val="24"/>
          </w:rPr>
          <w:t>Mitchea2@mskcc.org</w:t>
        </w:r>
      </w:hyperlink>
      <w:r w:rsidR="00274A6C">
        <w:rPr>
          <w:rStyle w:val="SubtleEmphasis"/>
          <w:i w:val="0"/>
          <w:iCs w:val="0"/>
          <w:color w:val="auto"/>
          <w:sz w:val="24"/>
          <w:szCs w:val="24"/>
        </w:rPr>
        <w:t xml:space="preserve"> </w:t>
      </w:r>
    </w:p>
    <w:p w14:paraId="3DEDA054" w14:textId="5F10A523" w:rsidR="002C77E5" w:rsidRDefault="000778B0" w:rsidP="00230BAB">
      <w:pPr>
        <w:pStyle w:val="Heading1"/>
        <w:numPr>
          <w:ilvl w:val="0"/>
          <w:numId w:val="0"/>
        </w:numPr>
        <w:rPr>
          <w:rStyle w:val="SubtleEmphasis"/>
          <w:rFonts w:ascii="Arial" w:hAnsi="Arial" w:cs="Arial"/>
          <w:i w:val="0"/>
          <w:iCs w:val="0"/>
          <w:color w:val="auto"/>
        </w:rPr>
      </w:pPr>
      <w:bookmarkStart w:id="1" w:name="_Toc194582568"/>
      <w:r>
        <w:rPr>
          <w:rStyle w:val="SubtleEmphasis"/>
          <w:rFonts w:ascii="Arial" w:hAnsi="Arial" w:cs="Arial"/>
          <w:i w:val="0"/>
          <w:iCs w:val="0"/>
          <w:color w:val="auto"/>
          <w:u w:val="single"/>
        </w:rPr>
        <w:t>Included</w:t>
      </w:r>
      <w:r w:rsidR="002C77E5">
        <w:rPr>
          <w:rStyle w:val="SubtleEmphasis"/>
          <w:rFonts w:ascii="Arial" w:hAnsi="Arial" w:cs="Arial"/>
          <w:i w:val="0"/>
          <w:iCs w:val="0"/>
          <w:color w:val="auto"/>
          <w:u w:val="single"/>
        </w:rPr>
        <w:t xml:space="preserve"> Documents &amp; Files</w:t>
      </w:r>
      <w:bookmarkEnd w:id="1"/>
    </w:p>
    <w:p w14:paraId="1CDE1694" w14:textId="138EB89F" w:rsidR="002C77E5" w:rsidRDefault="002C77E5" w:rsidP="00F457F7">
      <w:pPr>
        <w:numPr>
          <w:ilvl w:val="0"/>
          <w:numId w:val="0"/>
        </w:numPr>
      </w:pPr>
    </w:p>
    <w:p w14:paraId="31E47B46" w14:textId="77777777" w:rsidR="00F457F7" w:rsidRPr="00FE16C2" w:rsidRDefault="00F457F7" w:rsidP="00F457F7">
      <w:pPr>
        <w:pStyle w:val="ListParagraph"/>
        <w:numPr>
          <w:ilvl w:val="0"/>
          <w:numId w:val="26"/>
        </w:numPr>
      </w:pPr>
      <w:r w:rsidRPr="00FE16C2">
        <w:t>Framework version January 2016</w:t>
      </w:r>
    </w:p>
    <w:p w14:paraId="255A04EC" w14:textId="77777777" w:rsidR="00F457F7" w:rsidRPr="00FE16C2" w:rsidRDefault="00F457F7" w:rsidP="00F457F7">
      <w:pPr>
        <w:pStyle w:val="ListParagraph"/>
        <w:numPr>
          <w:ilvl w:val="0"/>
          <w:numId w:val="26"/>
        </w:numPr>
      </w:pPr>
      <w:r w:rsidRPr="00FE16C2">
        <w:t>Framework version January 2017</w:t>
      </w:r>
    </w:p>
    <w:p w14:paraId="097B9912" w14:textId="77777777" w:rsidR="00F457F7" w:rsidRPr="00FE16C2" w:rsidRDefault="00F457F7" w:rsidP="00F457F7">
      <w:pPr>
        <w:pStyle w:val="ListParagraph"/>
        <w:numPr>
          <w:ilvl w:val="0"/>
          <w:numId w:val="26"/>
        </w:numPr>
      </w:pPr>
      <w:r w:rsidRPr="00FE16C2">
        <w:t>Framework version January 2018</w:t>
      </w:r>
    </w:p>
    <w:p w14:paraId="65ABF804" w14:textId="77777777" w:rsidR="00F457F7" w:rsidRPr="00FE16C2" w:rsidRDefault="00F457F7" w:rsidP="00F457F7">
      <w:pPr>
        <w:pStyle w:val="ListParagraph"/>
        <w:numPr>
          <w:ilvl w:val="0"/>
          <w:numId w:val="26"/>
        </w:numPr>
      </w:pPr>
      <w:r w:rsidRPr="00FE16C2">
        <w:t>Framework version January 2019</w:t>
      </w:r>
    </w:p>
    <w:p w14:paraId="11569F4D" w14:textId="77777777" w:rsidR="00F457F7" w:rsidRPr="00FE16C2" w:rsidRDefault="00F457F7" w:rsidP="00F457F7">
      <w:pPr>
        <w:pStyle w:val="ListParagraph"/>
        <w:numPr>
          <w:ilvl w:val="0"/>
          <w:numId w:val="26"/>
        </w:numPr>
      </w:pPr>
      <w:r w:rsidRPr="00FE16C2">
        <w:t>Framework version January 2020</w:t>
      </w:r>
    </w:p>
    <w:p w14:paraId="432A0B63" w14:textId="77777777" w:rsidR="00F457F7" w:rsidRPr="00FE16C2" w:rsidRDefault="00F457F7" w:rsidP="00F457F7">
      <w:pPr>
        <w:pStyle w:val="ListParagraph"/>
        <w:numPr>
          <w:ilvl w:val="0"/>
          <w:numId w:val="26"/>
        </w:numPr>
      </w:pPr>
      <w:r w:rsidRPr="00FE16C2">
        <w:t>Framework version January 2021</w:t>
      </w:r>
    </w:p>
    <w:p w14:paraId="3F03BA91" w14:textId="77777777" w:rsidR="00F457F7" w:rsidRPr="00FE16C2" w:rsidRDefault="00F457F7" w:rsidP="00F457F7">
      <w:pPr>
        <w:pStyle w:val="ListParagraph"/>
        <w:numPr>
          <w:ilvl w:val="0"/>
          <w:numId w:val="26"/>
        </w:numPr>
      </w:pPr>
      <w:r w:rsidRPr="00FE16C2">
        <w:t>Framework version January 2022</w:t>
      </w:r>
    </w:p>
    <w:p w14:paraId="0D193235" w14:textId="77777777" w:rsidR="00F457F7" w:rsidRPr="00FE16C2" w:rsidRDefault="00F457F7" w:rsidP="00F457F7">
      <w:pPr>
        <w:pStyle w:val="ListParagraph"/>
        <w:numPr>
          <w:ilvl w:val="0"/>
          <w:numId w:val="26"/>
        </w:numPr>
      </w:pPr>
      <w:r w:rsidRPr="00FE16C2">
        <w:t>Framework version July 2016</w:t>
      </w:r>
    </w:p>
    <w:p w14:paraId="1AA7D374" w14:textId="77777777" w:rsidR="00F457F7" w:rsidRPr="00FE16C2" w:rsidRDefault="00F457F7" w:rsidP="00F457F7">
      <w:pPr>
        <w:pStyle w:val="ListParagraph"/>
        <w:numPr>
          <w:ilvl w:val="0"/>
          <w:numId w:val="26"/>
        </w:numPr>
      </w:pPr>
      <w:r w:rsidRPr="00FE16C2">
        <w:t>Framework version July 2017</w:t>
      </w:r>
    </w:p>
    <w:p w14:paraId="3367C576" w14:textId="77777777" w:rsidR="00F457F7" w:rsidRPr="00FE16C2" w:rsidRDefault="00F457F7" w:rsidP="00F457F7">
      <w:pPr>
        <w:pStyle w:val="ListParagraph"/>
        <w:numPr>
          <w:ilvl w:val="0"/>
          <w:numId w:val="26"/>
        </w:numPr>
      </w:pPr>
      <w:r w:rsidRPr="00FE16C2">
        <w:t>Framework version July 2018</w:t>
      </w:r>
    </w:p>
    <w:p w14:paraId="2F0EFBD0" w14:textId="77777777" w:rsidR="00F457F7" w:rsidRPr="00FE16C2" w:rsidRDefault="00F457F7" w:rsidP="00F457F7">
      <w:pPr>
        <w:pStyle w:val="ListParagraph"/>
        <w:numPr>
          <w:ilvl w:val="0"/>
          <w:numId w:val="26"/>
        </w:numPr>
      </w:pPr>
      <w:r w:rsidRPr="00FE16C2">
        <w:t>Framework version July 2019</w:t>
      </w:r>
    </w:p>
    <w:p w14:paraId="6CDF1A06" w14:textId="77777777" w:rsidR="00F457F7" w:rsidRPr="00FE16C2" w:rsidRDefault="00F457F7" w:rsidP="00F457F7">
      <w:pPr>
        <w:pStyle w:val="ListParagraph"/>
        <w:numPr>
          <w:ilvl w:val="0"/>
          <w:numId w:val="26"/>
        </w:numPr>
      </w:pPr>
      <w:r w:rsidRPr="00FE16C2">
        <w:t>Framework version July 2020</w:t>
      </w:r>
    </w:p>
    <w:p w14:paraId="45F6529D" w14:textId="77777777" w:rsidR="00F457F7" w:rsidRDefault="00F457F7" w:rsidP="00F457F7">
      <w:pPr>
        <w:pStyle w:val="ListParagraph"/>
        <w:numPr>
          <w:ilvl w:val="0"/>
          <w:numId w:val="26"/>
        </w:numPr>
      </w:pPr>
      <w:r w:rsidRPr="00FE16C2">
        <w:t>Framework version July 2021</w:t>
      </w:r>
    </w:p>
    <w:p w14:paraId="15CC2362" w14:textId="77777777" w:rsidR="00F457F7" w:rsidRPr="00FE16C2" w:rsidRDefault="00F457F7" w:rsidP="00F457F7">
      <w:pPr>
        <w:pStyle w:val="ListParagraph"/>
        <w:numPr>
          <w:ilvl w:val="0"/>
          <w:numId w:val="26"/>
        </w:numPr>
      </w:pPr>
      <w:r>
        <w:t>Data Dictionary</w:t>
      </w:r>
    </w:p>
    <w:p w14:paraId="537631FB" w14:textId="77777777" w:rsidR="00F457F7" w:rsidRPr="00FE16C2" w:rsidRDefault="00F457F7" w:rsidP="00F457F7">
      <w:pPr>
        <w:pStyle w:val="ListParagraph"/>
        <w:numPr>
          <w:ilvl w:val="0"/>
          <w:numId w:val="26"/>
        </w:numPr>
      </w:pPr>
      <w:r w:rsidRPr="00FE16C2">
        <w:t>Individual Drug Prices</w:t>
      </w:r>
    </w:p>
    <w:p w14:paraId="48534156" w14:textId="786839AE" w:rsidR="002C77E5" w:rsidRPr="002C77E5" w:rsidRDefault="00F457F7" w:rsidP="00F457F7">
      <w:pPr>
        <w:pStyle w:val="ListParagraph"/>
        <w:numPr>
          <w:ilvl w:val="0"/>
          <w:numId w:val="26"/>
        </w:numPr>
      </w:pPr>
      <w:r w:rsidRPr="00FE16C2">
        <w:t>Unique ID Key</w:t>
      </w:r>
    </w:p>
    <w:p w14:paraId="585E7E1F" w14:textId="5AAD1AE5" w:rsidR="000E17D9" w:rsidRPr="00230BAB" w:rsidRDefault="000E17D9" w:rsidP="00230BAB">
      <w:pPr>
        <w:pStyle w:val="Heading1"/>
        <w:numPr>
          <w:ilvl w:val="0"/>
          <w:numId w:val="0"/>
        </w:numPr>
        <w:rPr>
          <w:rStyle w:val="SubtleEmphasis"/>
          <w:rFonts w:ascii="Arial" w:hAnsi="Arial" w:cs="Arial"/>
          <w:b/>
          <w:bCs/>
          <w:i w:val="0"/>
          <w:iCs w:val="0"/>
          <w:noProof/>
          <w:color w:val="auto"/>
          <w:sz w:val="22"/>
          <w:szCs w:val="22"/>
        </w:rPr>
      </w:pPr>
      <w:bookmarkStart w:id="2" w:name="_Toc194582569"/>
      <w:r w:rsidRPr="00693534">
        <w:rPr>
          <w:rStyle w:val="SubtleEmphasis"/>
          <w:rFonts w:ascii="Arial" w:hAnsi="Arial" w:cs="Arial"/>
          <w:i w:val="0"/>
          <w:iCs w:val="0"/>
          <w:color w:val="auto"/>
          <w:u w:val="single"/>
        </w:rPr>
        <w:lastRenderedPageBreak/>
        <w:t>Requesting NCCN Guidelines</w:t>
      </w:r>
      <w:bookmarkEnd w:id="2"/>
    </w:p>
    <w:p w14:paraId="697EA6B9" w14:textId="77777777" w:rsidR="00F73F07" w:rsidRPr="00F73F07" w:rsidRDefault="00F73F07" w:rsidP="00693534">
      <w:pPr>
        <w:numPr>
          <w:ilvl w:val="0"/>
          <w:numId w:val="0"/>
        </w:numPr>
      </w:pPr>
    </w:p>
    <w:p w14:paraId="3C1961E0" w14:textId="76722E2F" w:rsidR="000E17D9" w:rsidRPr="00FB2B15" w:rsidRDefault="000E17D9" w:rsidP="00FC570C">
      <w:r w:rsidRPr="00FB2B15">
        <w:t xml:space="preserve">Go to </w:t>
      </w:r>
      <w:hyperlink r:id="rId12" w:history="1">
        <w:r w:rsidRPr="00FB2B15">
          <w:rPr>
            <w:rStyle w:val="Hyperlink"/>
          </w:rPr>
          <w:t>https://www.nccn.org/about/permissions/request_form.aspx</w:t>
        </w:r>
      </w:hyperlink>
    </w:p>
    <w:p w14:paraId="1562A64E" w14:textId="136F22BF" w:rsidR="000E17D9" w:rsidRPr="00FB2B15" w:rsidRDefault="000E17D9" w:rsidP="000E17D9">
      <w:pPr>
        <w:pStyle w:val="NoSpacing"/>
        <w:numPr>
          <w:ilvl w:val="0"/>
          <w:numId w:val="4"/>
        </w:numPr>
        <w:rPr>
          <w:rFonts w:ascii="Arial" w:hAnsi="Arial" w:cs="Arial"/>
        </w:rPr>
      </w:pPr>
      <w:r w:rsidRPr="00FB2B15">
        <w:rPr>
          <w:rFonts w:ascii="Arial" w:hAnsi="Arial" w:cs="Arial"/>
        </w:rPr>
        <w:t xml:space="preserve">Fill in personal information and list </w:t>
      </w:r>
      <w:r w:rsidR="000E2DE1" w:rsidRPr="00FB2B15">
        <w:rPr>
          <w:rFonts w:ascii="Arial" w:hAnsi="Arial" w:cs="Arial"/>
        </w:rPr>
        <w:t>Epi/Bio</w:t>
      </w:r>
      <w:r w:rsidRPr="00FB2B15">
        <w:rPr>
          <w:rFonts w:ascii="Arial" w:hAnsi="Arial" w:cs="Arial"/>
        </w:rPr>
        <w:t xml:space="preserve"> address</w:t>
      </w:r>
    </w:p>
    <w:p w14:paraId="096629D2" w14:textId="3B8D0B9E" w:rsidR="000E17D9" w:rsidRPr="00FB2B15" w:rsidRDefault="000E17D9" w:rsidP="000E17D9">
      <w:pPr>
        <w:pStyle w:val="NoSpacing"/>
        <w:numPr>
          <w:ilvl w:val="0"/>
          <w:numId w:val="4"/>
        </w:numPr>
        <w:rPr>
          <w:rFonts w:ascii="Arial" w:hAnsi="Arial" w:cs="Arial"/>
        </w:rPr>
      </w:pPr>
      <w:r w:rsidRPr="00FB2B15">
        <w:rPr>
          <w:rFonts w:ascii="Arial" w:hAnsi="Arial" w:cs="Arial"/>
        </w:rPr>
        <w:t>Intended use: Academic, Format: Journal Article</w:t>
      </w:r>
    </w:p>
    <w:p w14:paraId="30137B34" w14:textId="523026A8" w:rsidR="000E17D9" w:rsidRPr="00FB2B15" w:rsidRDefault="000E17D9" w:rsidP="000E17D9">
      <w:pPr>
        <w:pStyle w:val="NoSpacing"/>
        <w:numPr>
          <w:ilvl w:val="0"/>
          <w:numId w:val="4"/>
        </w:numPr>
        <w:rPr>
          <w:rFonts w:ascii="Arial" w:hAnsi="Arial" w:cs="Arial"/>
        </w:rPr>
      </w:pPr>
      <w:r w:rsidRPr="00FB2B15">
        <w:rPr>
          <w:rFonts w:ascii="Arial" w:hAnsi="Arial" w:cs="Arial"/>
        </w:rPr>
        <w:t>Journal/Book Name, Authors/Editors, Publisher: Unknown at this time</w:t>
      </w:r>
    </w:p>
    <w:p w14:paraId="1C47E3DC" w14:textId="1831BF45" w:rsidR="000E17D9" w:rsidRPr="00FB2B15" w:rsidRDefault="000E17D9" w:rsidP="000E17D9">
      <w:pPr>
        <w:pStyle w:val="NoSpacing"/>
        <w:numPr>
          <w:ilvl w:val="0"/>
          <w:numId w:val="4"/>
        </w:numPr>
        <w:rPr>
          <w:rFonts w:ascii="Arial" w:hAnsi="Arial" w:cs="Arial"/>
        </w:rPr>
      </w:pPr>
      <w:r w:rsidRPr="00FB2B15">
        <w:rPr>
          <w:rFonts w:ascii="Arial" w:hAnsi="Arial" w:cs="Arial"/>
        </w:rPr>
        <w:t>Media formats: print and internet</w:t>
      </w:r>
    </w:p>
    <w:p w14:paraId="478386B8" w14:textId="1F5F7626" w:rsidR="000E17D9" w:rsidRPr="00FB2B15" w:rsidRDefault="000E17D9" w:rsidP="000E17D9">
      <w:pPr>
        <w:pStyle w:val="NoSpacing"/>
        <w:numPr>
          <w:ilvl w:val="0"/>
          <w:numId w:val="4"/>
        </w:numPr>
        <w:rPr>
          <w:rFonts w:ascii="Arial" w:hAnsi="Arial" w:cs="Arial"/>
        </w:rPr>
      </w:pPr>
      <w:r w:rsidRPr="00FB2B15">
        <w:rPr>
          <w:rFonts w:ascii="Arial" w:hAnsi="Arial" w:cs="Arial"/>
        </w:rPr>
        <w:t>Project sponsor: Aaron Mitchell</w:t>
      </w:r>
    </w:p>
    <w:p w14:paraId="3BFE9AFF" w14:textId="77777777" w:rsidR="00597B5A" w:rsidRPr="00FB2B15" w:rsidRDefault="000E17D9" w:rsidP="00597B5A">
      <w:pPr>
        <w:pStyle w:val="NoSpacing"/>
        <w:numPr>
          <w:ilvl w:val="0"/>
          <w:numId w:val="4"/>
        </w:numPr>
        <w:rPr>
          <w:rFonts w:ascii="Arial" w:hAnsi="Arial" w:cs="Arial"/>
        </w:rPr>
      </w:pPr>
      <w:r w:rsidRPr="00FB2B15">
        <w:rPr>
          <w:rFonts w:ascii="Arial" w:hAnsi="Arial" w:cs="Arial"/>
        </w:rPr>
        <w:t>Will the content being requesting be used with Health Info Tech? No</w:t>
      </w:r>
    </w:p>
    <w:p w14:paraId="3A0C59A1" w14:textId="6C72F4E7" w:rsidR="00597B5A" w:rsidRPr="00FB2B15" w:rsidRDefault="00597B5A" w:rsidP="00597B5A">
      <w:pPr>
        <w:pStyle w:val="NoSpacing"/>
        <w:numPr>
          <w:ilvl w:val="0"/>
          <w:numId w:val="4"/>
        </w:numPr>
        <w:rPr>
          <w:rFonts w:ascii="Arial" w:hAnsi="Arial" w:cs="Arial"/>
        </w:rPr>
      </w:pPr>
      <w:r w:rsidRPr="00FB2B15">
        <w:rPr>
          <w:rFonts w:ascii="Arial" w:hAnsi="Arial" w:cs="Arial"/>
        </w:rPr>
        <w:t xml:space="preserve">If you’ve heard no respond from NCCN after a week, send a follow up message to this email: </w:t>
      </w:r>
      <w:hyperlink r:id="rId13" w:history="1">
        <w:r w:rsidRPr="00FB2B15">
          <w:rPr>
            <w:rStyle w:val="Hyperlink"/>
            <w:rFonts w:ascii="Arial" w:hAnsi="Arial" w:cs="Arial"/>
          </w:rPr>
          <w:t>PermissionRequest@nccn.org</w:t>
        </w:r>
      </w:hyperlink>
    </w:p>
    <w:p w14:paraId="1865D7CC" w14:textId="43C7E330" w:rsidR="00686A23" w:rsidRPr="00693534" w:rsidRDefault="00686A23" w:rsidP="00F73F07">
      <w:pPr>
        <w:pStyle w:val="Heading1"/>
        <w:numPr>
          <w:ilvl w:val="0"/>
          <w:numId w:val="0"/>
        </w:numPr>
        <w:rPr>
          <w:rFonts w:ascii="Arial" w:hAnsi="Arial" w:cs="Arial"/>
          <w:color w:val="auto"/>
          <w:u w:val="single"/>
        </w:rPr>
      </w:pPr>
      <w:bookmarkStart w:id="3" w:name="_Toc194582570"/>
      <w:r w:rsidRPr="00693534">
        <w:rPr>
          <w:rFonts w:ascii="Arial" w:hAnsi="Arial" w:cs="Arial"/>
          <w:color w:val="auto"/>
          <w:u w:val="single"/>
        </w:rPr>
        <w:t xml:space="preserve">Downloading CMS ASP </w:t>
      </w:r>
      <w:r w:rsidR="00676328">
        <w:rPr>
          <w:rFonts w:ascii="Arial" w:hAnsi="Arial" w:cs="Arial"/>
          <w:color w:val="auto"/>
          <w:u w:val="single"/>
        </w:rPr>
        <w:t>F</w:t>
      </w:r>
      <w:r w:rsidRPr="00693534">
        <w:rPr>
          <w:rFonts w:ascii="Arial" w:hAnsi="Arial" w:cs="Arial"/>
          <w:color w:val="auto"/>
          <w:u w:val="single"/>
        </w:rPr>
        <w:t>ile</w:t>
      </w:r>
      <w:r w:rsidR="00676328">
        <w:rPr>
          <w:rFonts w:ascii="Arial" w:hAnsi="Arial" w:cs="Arial"/>
          <w:color w:val="auto"/>
          <w:u w:val="single"/>
        </w:rPr>
        <w:t>s</w:t>
      </w:r>
      <w:bookmarkEnd w:id="3"/>
    </w:p>
    <w:p w14:paraId="20ADA5EB" w14:textId="77777777" w:rsidR="00F73F07" w:rsidRPr="00F73F07" w:rsidRDefault="00F73F07" w:rsidP="00693534">
      <w:pPr>
        <w:numPr>
          <w:ilvl w:val="0"/>
          <w:numId w:val="0"/>
        </w:numPr>
      </w:pPr>
    </w:p>
    <w:p w14:paraId="76E561E2" w14:textId="5C668F14" w:rsidR="00686A23" w:rsidRPr="00FB2B15" w:rsidRDefault="00686A23" w:rsidP="00686A23">
      <w:pPr>
        <w:pStyle w:val="NoSpacing"/>
        <w:numPr>
          <w:ilvl w:val="0"/>
          <w:numId w:val="4"/>
        </w:numPr>
        <w:rPr>
          <w:rFonts w:ascii="Arial" w:hAnsi="Arial" w:cs="Arial"/>
        </w:rPr>
      </w:pPr>
      <w:r w:rsidRPr="00FB2B15">
        <w:rPr>
          <w:rFonts w:ascii="Arial" w:hAnsi="Arial" w:cs="Arial"/>
        </w:rPr>
        <w:t>Download the version active as of each January 1</w:t>
      </w:r>
      <w:r w:rsidRPr="00FB2B15">
        <w:rPr>
          <w:rFonts w:ascii="Arial" w:hAnsi="Arial" w:cs="Arial"/>
          <w:vertAlign w:val="superscript"/>
        </w:rPr>
        <w:t>st</w:t>
      </w:r>
      <w:r w:rsidRPr="00FB2B15">
        <w:rPr>
          <w:rFonts w:ascii="Arial" w:hAnsi="Arial" w:cs="Arial"/>
        </w:rPr>
        <w:t xml:space="preserve"> and July 1</w:t>
      </w:r>
      <w:r w:rsidRPr="00FB2B15">
        <w:rPr>
          <w:rFonts w:ascii="Arial" w:hAnsi="Arial" w:cs="Arial"/>
          <w:vertAlign w:val="superscript"/>
        </w:rPr>
        <w:t xml:space="preserve">st </w:t>
      </w:r>
    </w:p>
    <w:p w14:paraId="3EDA8614" w14:textId="64C6D959" w:rsidR="00686A23" w:rsidRPr="00FB2B15" w:rsidRDefault="00686A23" w:rsidP="00686A23">
      <w:pPr>
        <w:pStyle w:val="NoSpacing"/>
        <w:numPr>
          <w:ilvl w:val="1"/>
          <w:numId w:val="4"/>
        </w:numPr>
        <w:rPr>
          <w:rFonts w:ascii="Arial" w:hAnsi="Arial" w:cs="Arial"/>
        </w:rPr>
      </w:pPr>
      <w:r w:rsidRPr="00FB2B15">
        <w:rPr>
          <w:rFonts w:ascii="Arial" w:hAnsi="Arial" w:cs="Arial"/>
        </w:rPr>
        <w:t>Jan</w:t>
      </w:r>
      <w:r w:rsidR="007A0F57">
        <w:rPr>
          <w:rFonts w:ascii="Arial" w:hAnsi="Arial" w:cs="Arial"/>
        </w:rPr>
        <w:t>uary</w:t>
      </w:r>
      <w:r w:rsidRPr="00FB2B15">
        <w:rPr>
          <w:rFonts w:ascii="Arial" w:hAnsi="Arial" w:cs="Arial"/>
        </w:rPr>
        <w:t xml:space="preserve"> 1 = Q1</w:t>
      </w:r>
    </w:p>
    <w:p w14:paraId="5BC62351" w14:textId="11FD8DC4" w:rsidR="00686A23" w:rsidRPr="00FB2B15" w:rsidRDefault="00686A23" w:rsidP="00686A23">
      <w:pPr>
        <w:pStyle w:val="NoSpacing"/>
        <w:numPr>
          <w:ilvl w:val="1"/>
          <w:numId w:val="4"/>
        </w:numPr>
        <w:rPr>
          <w:rFonts w:ascii="Arial" w:hAnsi="Arial" w:cs="Arial"/>
        </w:rPr>
      </w:pPr>
      <w:r w:rsidRPr="00FB2B15">
        <w:rPr>
          <w:rFonts w:ascii="Arial" w:hAnsi="Arial" w:cs="Arial"/>
        </w:rPr>
        <w:t>July 1 = Q3</w:t>
      </w:r>
    </w:p>
    <w:p w14:paraId="030CD031" w14:textId="03AF26E2" w:rsidR="00686A23" w:rsidRPr="00FB2B15" w:rsidRDefault="00686A23" w:rsidP="00686A23">
      <w:pPr>
        <w:pStyle w:val="NoSpacing"/>
        <w:numPr>
          <w:ilvl w:val="0"/>
          <w:numId w:val="4"/>
        </w:numPr>
        <w:rPr>
          <w:rFonts w:ascii="Arial" w:hAnsi="Arial" w:cs="Arial"/>
        </w:rPr>
      </w:pPr>
      <w:r w:rsidRPr="00FB2B15">
        <w:rPr>
          <w:rFonts w:ascii="Arial" w:hAnsi="Arial" w:cs="Arial"/>
        </w:rPr>
        <w:t>ASP file versions are available at (</w:t>
      </w:r>
      <w:hyperlink r:id="rId14" w:history="1">
        <w:r w:rsidRPr="00FB2B15">
          <w:rPr>
            <w:rStyle w:val="Hyperlink"/>
            <w:rFonts w:ascii="Arial" w:hAnsi="Arial" w:cs="Arial"/>
          </w:rPr>
          <w:t>https://www.cms.gov/medicare/payment/part-b-drugs/asp-pricing-files</w:t>
        </w:r>
      </w:hyperlink>
      <w:r w:rsidRPr="00FB2B15">
        <w:rPr>
          <w:rFonts w:ascii="Arial" w:hAnsi="Arial" w:cs="Arial"/>
        </w:rPr>
        <w:t>)</w:t>
      </w:r>
    </w:p>
    <w:p w14:paraId="5A2748E9" w14:textId="77A4778F" w:rsidR="000848FE" w:rsidRPr="00693534" w:rsidRDefault="000848FE" w:rsidP="00F73F07">
      <w:pPr>
        <w:pStyle w:val="Heading1"/>
        <w:numPr>
          <w:ilvl w:val="0"/>
          <w:numId w:val="0"/>
        </w:numPr>
        <w:rPr>
          <w:rFonts w:ascii="Arial" w:hAnsi="Arial" w:cs="Arial"/>
          <w:color w:val="auto"/>
          <w:u w:val="single"/>
        </w:rPr>
      </w:pPr>
      <w:bookmarkStart w:id="4" w:name="_Toc194582571"/>
      <w:r w:rsidRPr="00693534">
        <w:rPr>
          <w:rFonts w:ascii="Arial" w:hAnsi="Arial" w:cs="Arial"/>
          <w:color w:val="auto"/>
          <w:u w:val="single"/>
        </w:rPr>
        <w:t xml:space="preserve">NCCN </w:t>
      </w:r>
      <w:r w:rsidR="00676328">
        <w:rPr>
          <w:rFonts w:ascii="Arial" w:hAnsi="Arial" w:cs="Arial"/>
          <w:color w:val="auto"/>
          <w:u w:val="single"/>
        </w:rPr>
        <w:t>A</w:t>
      </w:r>
      <w:r w:rsidRPr="00693534">
        <w:rPr>
          <w:rFonts w:ascii="Arial" w:hAnsi="Arial" w:cs="Arial"/>
          <w:color w:val="auto"/>
          <w:u w:val="single"/>
        </w:rPr>
        <w:t>bstraction</w:t>
      </w:r>
      <w:r w:rsidR="00676328">
        <w:rPr>
          <w:rFonts w:ascii="Arial" w:hAnsi="Arial" w:cs="Arial"/>
          <w:color w:val="auto"/>
          <w:u w:val="single"/>
        </w:rPr>
        <w:t>s</w:t>
      </w:r>
      <w:bookmarkEnd w:id="4"/>
    </w:p>
    <w:p w14:paraId="7EAEEFE2" w14:textId="77777777" w:rsidR="00F73F07" w:rsidRPr="00F73F07" w:rsidRDefault="00F73F07" w:rsidP="00693534">
      <w:pPr>
        <w:numPr>
          <w:ilvl w:val="0"/>
          <w:numId w:val="0"/>
        </w:numPr>
      </w:pPr>
    </w:p>
    <w:p w14:paraId="4E7BF377" w14:textId="3703FA2E" w:rsidR="000848FE" w:rsidRPr="00FB2B15" w:rsidRDefault="000848FE" w:rsidP="000848FE">
      <w:pPr>
        <w:pStyle w:val="NoSpacing"/>
        <w:numPr>
          <w:ilvl w:val="0"/>
          <w:numId w:val="4"/>
        </w:numPr>
        <w:rPr>
          <w:rFonts w:ascii="Arial" w:hAnsi="Arial" w:cs="Arial"/>
        </w:rPr>
      </w:pPr>
      <w:r w:rsidRPr="00FB2B15">
        <w:rPr>
          <w:rFonts w:ascii="Arial" w:hAnsi="Arial" w:cs="Arial"/>
        </w:rPr>
        <w:t xml:space="preserve">Use most current version of guidelines available </w:t>
      </w:r>
      <w:r w:rsidR="00AD726D" w:rsidRPr="00FB2B15">
        <w:rPr>
          <w:rFonts w:ascii="Arial" w:hAnsi="Arial" w:cs="Arial"/>
        </w:rPr>
        <w:t xml:space="preserve">as of each </w:t>
      </w:r>
      <w:r w:rsidRPr="00FB2B15">
        <w:rPr>
          <w:rFonts w:ascii="Arial" w:hAnsi="Arial" w:cs="Arial"/>
        </w:rPr>
        <w:t>January 1</w:t>
      </w:r>
      <w:r w:rsidRPr="00FB2B15">
        <w:rPr>
          <w:rFonts w:ascii="Arial" w:hAnsi="Arial" w:cs="Arial"/>
          <w:vertAlign w:val="superscript"/>
        </w:rPr>
        <w:t>st</w:t>
      </w:r>
      <w:r w:rsidRPr="00FB2B15">
        <w:rPr>
          <w:rFonts w:ascii="Arial" w:hAnsi="Arial" w:cs="Arial"/>
        </w:rPr>
        <w:t xml:space="preserve"> </w:t>
      </w:r>
      <w:r w:rsidR="00AD726D" w:rsidRPr="00FB2B15">
        <w:rPr>
          <w:rFonts w:ascii="Arial" w:hAnsi="Arial" w:cs="Arial"/>
        </w:rPr>
        <w:t>and</w:t>
      </w:r>
      <w:r w:rsidRPr="00FB2B15">
        <w:rPr>
          <w:rFonts w:ascii="Arial" w:hAnsi="Arial" w:cs="Arial"/>
        </w:rPr>
        <w:t xml:space="preserve"> July 1</w:t>
      </w:r>
      <w:r w:rsidRPr="00FB2B15">
        <w:rPr>
          <w:rFonts w:ascii="Arial" w:hAnsi="Arial" w:cs="Arial"/>
          <w:vertAlign w:val="superscript"/>
        </w:rPr>
        <w:t>st</w:t>
      </w:r>
    </w:p>
    <w:p w14:paraId="130CE8AC" w14:textId="329CF40B" w:rsidR="000848FE" w:rsidRPr="00FB2B15" w:rsidRDefault="000848FE" w:rsidP="000848FE">
      <w:pPr>
        <w:pStyle w:val="NoSpacing"/>
        <w:numPr>
          <w:ilvl w:val="0"/>
          <w:numId w:val="4"/>
        </w:numPr>
        <w:rPr>
          <w:rFonts w:ascii="Arial" w:hAnsi="Arial" w:cs="Arial"/>
        </w:rPr>
      </w:pPr>
      <w:r w:rsidRPr="00FB2B15">
        <w:rPr>
          <w:rFonts w:ascii="Arial" w:hAnsi="Arial" w:cs="Arial"/>
        </w:rPr>
        <w:t xml:space="preserve">List all </w:t>
      </w:r>
      <w:r w:rsidR="00147D90" w:rsidRPr="00FB2B15">
        <w:rPr>
          <w:rFonts w:ascii="Arial" w:hAnsi="Arial" w:cs="Arial"/>
        </w:rPr>
        <w:t>regimen</w:t>
      </w:r>
      <w:r w:rsidRPr="00FB2B15">
        <w:rPr>
          <w:rFonts w:ascii="Arial" w:hAnsi="Arial" w:cs="Arial"/>
        </w:rPr>
        <w:t>s for which there are "evidence box" ratings</w:t>
      </w:r>
    </w:p>
    <w:p w14:paraId="1A6FB547" w14:textId="0E34F168" w:rsidR="00813BFD" w:rsidRPr="00F457F7" w:rsidRDefault="00147D90" w:rsidP="00F1012F">
      <w:pPr>
        <w:pStyle w:val="NoSpacing"/>
        <w:numPr>
          <w:ilvl w:val="0"/>
          <w:numId w:val="4"/>
        </w:numPr>
        <w:rPr>
          <w:rFonts w:ascii="Arial" w:hAnsi="Arial" w:cs="Arial"/>
        </w:rPr>
      </w:pPr>
      <w:r w:rsidRPr="00F457F7">
        <w:rPr>
          <w:rFonts w:ascii="Arial" w:hAnsi="Arial" w:cs="Arial"/>
        </w:rPr>
        <w:t xml:space="preserve">Manually extract </w:t>
      </w:r>
      <w:r w:rsidR="007A1E09" w:rsidRPr="00F457F7">
        <w:rPr>
          <w:rFonts w:ascii="Arial" w:hAnsi="Arial" w:cs="Arial"/>
        </w:rPr>
        <w:t xml:space="preserve">the following columns for each regimen: </w:t>
      </w:r>
      <w:r w:rsidRPr="00F457F7">
        <w:rPr>
          <w:rFonts w:ascii="Arial" w:hAnsi="Arial" w:cs="Arial"/>
        </w:rPr>
        <w:t>Guideline edition, Cancer subtype, Indication subset, Unique ID, Regimen name, Evidence Block scores, Category of Evidence</w:t>
      </w:r>
      <w:r w:rsidR="00514708" w:rsidRPr="00F457F7">
        <w:rPr>
          <w:rFonts w:ascii="Arial" w:hAnsi="Arial" w:cs="Arial"/>
        </w:rPr>
        <w:t>, Preferred Status</w:t>
      </w:r>
    </w:p>
    <w:p w14:paraId="2E05C9EC" w14:textId="572EA607" w:rsidR="00813BFD" w:rsidRPr="00693534" w:rsidRDefault="00813BFD" w:rsidP="00F73F07">
      <w:pPr>
        <w:pStyle w:val="Heading1"/>
        <w:numPr>
          <w:ilvl w:val="0"/>
          <w:numId w:val="0"/>
        </w:numPr>
        <w:rPr>
          <w:rFonts w:ascii="Arial" w:hAnsi="Arial" w:cs="Arial"/>
          <w:color w:val="auto"/>
          <w:u w:val="single"/>
        </w:rPr>
      </w:pPr>
      <w:bookmarkStart w:id="5" w:name="_Toc194582572"/>
      <w:r w:rsidRPr="00693534">
        <w:rPr>
          <w:rFonts w:ascii="Arial" w:hAnsi="Arial" w:cs="Arial"/>
          <w:color w:val="auto"/>
          <w:u w:val="single"/>
        </w:rPr>
        <w:t>Unique ID</w:t>
      </w:r>
      <w:bookmarkEnd w:id="5"/>
    </w:p>
    <w:p w14:paraId="5D2DC2D5" w14:textId="77777777" w:rsidR="00F73F07" w:rsidRPr="00F73F07" w:rsidRDefault="00F73F07" w:rsidP="00693534">
      <w:pPr>
        <w:numPr>
          <w:ilvl w:val="0"/>
          <w:numId w:val="0"/>
        </w:numPr>
      </w:pPr>
    </w:p>
    <w:p w14:paraId="64FD7589" w14:textId="4C1AE685" w:rsidR="00D10115" w:rsidRPr="00FB2B15" w:rsidRDefault="007A0F57" w:rsidP="00CF6FE6">
      <w:pPr>
        <w:pStyle w:val="NoSpacing"/>
        <w:numPr>
          <w:ilvl w:val="0"/>
          <w:numId w:val="10"/>
        </w:numPr>
        <w:rPr>
          <w:rFonts w:ascii="Arial" w:hAnsi="Arial" w:cs="Arial"/>
        </w:rPr>
      </w:pPr>
      <w:r>
        <w:rPr>
          <w:rFonts w:ascii="Arial" w:hAnsi="Arial" w:cs="Arial"/>
        </w:rPr>
        <w:t xml:space="preserve">A </w:t>
      </w:r>
      <w:r w:rsidR="00CF6FE6" w:rsidRPr="00FB2B15">
        <w:rPr>
          <w:rFonts w:ascii="Arial" w:hAnsi="Arial" w:cs="Arial"/>
        </w:rPr>
        <w:t>Unique ID assigned to each regimen</w:t>
      </w:r>
      <w:r>
        <w:rPr>
          <w:rFonts w:ascii="Arial" w:hAnsi="Arial" w:cs="Arial"/>
        </w:rPr>
        <w:t xml:space="preserve"> to allow the same regimen to be identified across time (</w:t>
      </w:r>
      <w:proofErr w:type="spellStart"/>
      <w:r>
        <w:rPr>
          <w:rFonts w:ascii="Arial" w:hAnsi="Arial" w:cs="Arial"/>
        </w:rPr>
        <w:t>eg.</w:t>
      </w:r>
      <w:proofErr w:type="spellEnd"/>
      <w:r>
        <w:rPr>
          <w:rFonts w:ascii="Arial" w:hAnsi="Arial" w:cs="Arial"/>
        </w:rPr>
        <w:t>, across spreadsheet versions)</w:t>
      </w:r>
    </w:p>
    <w:p w14:paraId="2F63C895" w14:textId="0B0F3061" w:rsidR="00813BFD" w:rsidRPr="00FB2B15" w:rsidRDefault="00D10115" w:rsidP="00CF6FE6">
      <w:pPr>
        <w:pStyle w:val="NoSpacing"/>
        <w:numPr>
          <w:ilvl w:val="0"/>
          <w:numId w:val="10"/>
        </w:numPr>
        <w:rPr>
          <w:rFonts w:ascii="Arial" w:hAnsi="Arial" w:cs="Arial"/>
        </w:rPr>
      </w:pPr>
      <w:r w:rsidRPr="00FB2B15">
        <w:rPr>
          <w:rFonts w:ascii="Arial" w:hAnsi="Arial" w:cs="Arial"/>
        </w:rPr>
        <w:t>The first two numbers in each ID are cancer-type specific (see “Unique ID Key” spreadsheet</w:t>
      </w:r>
      <w:r w:rsidR="001D3F48" w:rsidRPr="00FB2B15">
        <w:rPr>
          <w:rFonts w:ascii="Arial" w:hAnsi="Arial" w:cs="Arial"/>
        </w:rPr>
        <w:t xml:space="preserve"> in the 'Unique ID Key’ folder</w:t>
      </w:r>
      <w:r w:rsidRPr="00FB2B15">
        <w:rPr>
          <w:rFonts w:ascii="Arial" w:hAnsi="Arial" w:cs="Arial"/>
        </w:rPr>
        <w:t>)</w:t>
      </w:r>
      <w:r w:rsidR="00CF6FE6" w:rsidRPr="00FB2B15">
        <w:rPr>
          <w:rFonts w:ascii="Arial" w:hAnsi="Arial" w:cs="Arial"/>
        </w:rPr>
        <w:t xml:space="preserve"> </w:t>
      </w:r>
    </w:p>
    <w:p w14:paraId="5A8B3776" w14:textId="56BBBA6B" w:rsidR="00744CBA" w:rsidRPr="00FB2B15" w:rsidRDefault="00BE2C42" w:rsidP="00744CBA">
      <w:pPr>
        <w:pStyle w:val="NoSpacing"/>
        <w:numPr>
          <w:ilvl w:val="0"/>
          <w:numId w:val="10"/>
        </w:numPr>
        <w:rPr>
          <w:rFonts w:ascii="Arial" w:hAnsi="Arial" w:cs="Arial"/>
        </w:rPr>
      </w:pPr>
      <w:r>
        <w:rPr>
          <w:rFonts w:ascii="Arial" w:hAnsi="Arial" w:cs="Arial"/>
        </w:rPr>
        <w:t xml:space="preserve">For each Unique ID, some regimen characteristics (such as whether radiation therapy or stem cell transplant is included, the emetic and neutropenic fever risk, and the component drugs) are static and do not change over time, except in rare circumstances. Some regimen characteristics, such as NCCN Evidence Blocks score, level of evidence, and </w:t>
      </w:r>
      <w:r w:rsidR="00510805">
        <w:rPr>
          <w:rFonts w:ascii="Arial" w:hAnsi="Arial" w:cs="Arial"/>
        </w:rPr>
        <w:t xml:space="preserve">treatment costs, </w:t>
      </w:r>
      <w:r w:rsidR="00510805" w:rsidRPr="00510805">
        <w:rPr>
          <w:rFonts w:ascii="Arial" w:hAnsi="Arial" w:cs="Arial"/>
          <w:b/>
          <w:bCs/>
        </w:rPr>
        <w:t>do</w:t>
      </w:r>
      <w:r w:rsidR="00510805">
        <w:rPr>
          <w:rFonts w:ascii="Arial" w:hAnsi="Arial" w:cs="Arial"/>
        </w:rPr>
        <w:t xml:space="preserve"> change over time.</w:t>
      </w:r>
    </w:p>
    <w:p w14:paraId="03CC7200" w14:textId="10C64ED2" w:rsidR="00F57E3A" w:rsidRDefault="00F57E3A" w:rsidP="00693534">
      <w:pPr>
        <w:pStyle w:val="Heading1"/>
        <w:numPr>
          <w:ilvl w:val="0"/>
          <w:numId w:val="0"/>
        </w:numPr>
        <w:rPr>
          <w:rFonts w:ascii="Arial" w:hAnsi="Arial" w:cs="Arial"/>
          <w:color w:val="auto"/>
          <w:u w:val="single"/>
        </w:rPr>
      </w:pPr>
      <w:bookmarkStart w:id="6" w:name="_Toc194582573"/>
      <w:r w:rsidRPr="00693534">
        <w:rPr>
          <w:rFonts w:ascii="Arial" w:hAnsi="Arial" w:cs="Arial"/>
          <w:color w:val="auto"/>
          <w:u w:val="single"/>
        </w:rPr>
        <w:t>Radiation Therapy/Stem Cell Transplant</w:t>
      </w:r>
      <w:bookmarkEnd w:id="6"/>
    </w:p>
    <w:p w14:paraId="191FA626" w14:textId="77777777" w:rsidR="00693534" w:rsidRPr="00693534" w:rsidRDefault="00693534" w:rsidP="00693534">
      <w:pPr>
        <w:numPr>
          <w:ilvl w:val="0"/>
          <w:numId w:val="0"/>
        </w:numPr>
      </w:pPr>
    </w:p>
    <w:p w14:paraId="553E293D" w14:textId="5674FBBE" w:rsidR="00F57E3A" w:rsidRPr="00FB2B15" w:rsidRDefault="00F57E3A" w:rsidP="00F57E3A">
      <w:pPr>
        <w:pStyle w:val="NoSpacing"/>
        <w:numPr>
          <w:ilvl w:val="0"/>
          <w:numId w:val="13"/>
        </w:numPr>
        <w:rPr>
          <w:rFonts w:ascii="Arial" w:hAnsi="Arial" w:cs="Arial"/>
        </w:rPr>
      </w:pPr>
      <w:r w:rsidRPr="00FB2B15">
        <w:rPr>
          <w:rFonts w:ascii="Arial" w:hAnsi="Arial" w:cs="Arial"/>
        </w:rPr>
        <w:t>Regimens which include with radiation therapy (RT)/stem cell transplants (SCT</w:t>
      </w:r>
      <w:r w:rsidR="00AD726D" w:rsidRPr="00FB2B15">
        <w:rPr>
          <w:rFonts w:ascii="Arial" w:hAnsi="Arial" w:cs="Arial"/>
        </w:rPr>
        <w:t xml:space="preserve"> or HSCT</w:t>
      </w:r>
      <w:r w:rsidRPr="00FB2B15">
        <w:rPr>
          <w:rFonts w:ascii="Arial" w:hAnsi="Arial" w:cs="Arial"/>
        </w:rPr>
        <w:t>) exhibit significant additional costs outside of chemotherapy and supportive drugs. We identify regimens with RT/SCT so that we are only comparing regimens within groups that have the same indication and expected additional costs outside of chemotherapy and supportive drugs (see Emetic Risk/Growth Factor below).</w:t>
      </w:r>
    </w:p>
    <w:p w14:paraId="4CC0EEB0" w14:textId="431BCF41" w:rsidR="00F57E3A" w:rsidRPr="00FB2B15" w:rsidRDefault="00F57E3A" w:rsidP="00F57E3A">
      <w:pPr>
        <w:pStyle w:val="NoSpacing"/>
        <w:numPr>
          <w:ilvl w:val="0"/>
          <w:numId w:val="13"/>
        </w:numPr>
        <w:rPr>
          <w:rFonts w:ascii="Arial" w:hAnsi="Arial" w:cs="Arial"/>
        </w:rPr>
      </w:pPr>
      <w:r w:rsidRPr="00FB2B15">
        <w:rPr>
          <w:rFonts w:ascii="Arial" w:hAnsi="Arial" w:cs="Arial"/>
        </w:rPr>
        <w:lastRenderedPageBreak/>
        <w:t xml:space="preserve">SCT should </w:t>
      </w:r>
      <w:r w:rsidR="00AD726D" w:rsidRPr="00FB2B15">
        <w:rPr>
          <w:rFonts w:ascii="Arial" w:hAnsi="Arial" w:cs="Arial"/>
        </w:rPr>
        <w:t>occur only</w:t>
      </w:r>
      <w:r w:rsidRPr="00FB2B15">
        <w:rPr>
          <w:rFonts w:ascii="Arial" w:hAnsi="Arial" w:cs="Arial"/>
        </w:rPr>
        <w:t xml:space="preserve"> in guidelines for multiple myeloma, lymphomas, leukemias, and testicular cancer</w:t>
      </w:r>
    </w:p>
    <w:p w14:paraId="2091B480" w14:textId="77777777" w:rsidR="00F57E3A" w:rsidRPr="00FB2B15" w:rsidRDefault="00F57E3A" w:rsidP="00F57E3A">
      <w:pPr>
        <w:pStyle w:val="NoSpacing"/>
        <w:numPr>
          <w:ilvl w:val="1"/>
          <w:numId w:val="13"/>
        </w:numPr>
        <w:rPr>
          <w:rFonts w:ascii="Arial" w:hAnsi="Arial" w:cs="Arial"/>
        </w:rPr>
      </w:pPr>
      <w:r w:rsidRPr="00FB2B15">
        <w:rPr>
          <w:rFonts w:ascii="Arial" w:hAnsi="Arial" w:cs="Arial"/>
        </w:rPr>
        <w:t>Keep an eye out for phrases: “stem cell transfer,” “hematopoietic cell transfer,” HSCT/HCT, “induction”</w:t>
      </w:r>
    </w:p>
    <w:p w14:paraId="4580687B" w14:textId="0FCCD778" w:rsidR="00813BFD" w:rsidRDefault="00813BFD" w:rsidP="00693534">
      <w:pPr>
        <w:pStyle w:val="Heading1"/>
        <w:numPr>
          <w:ilvl w:val="0"/>
          <w:numId w:val="0"/>
        </w:numPr>
        <w:rPr>
          <w:rFonts w:ascii="Arial" w:hAnsi="Arial" w:cs="Arial"/>
          <w:color w:val="auto"/>
          <w:u w:val="single"/>
        </w:rPr>
      </w:pPr>
      <w:bookmarkStart w:id="7" w:name="_Toc194582574"/>
      <w:r w:rsidRPr="00693534">
        <w:rPr>
          <w:rFonts w:ascii="Arial" w:hAnsi="Arial" w:cs="Arial"/>
          <w:color w:val="auto"/>
          <w:u w:val="single"/>
        </w:rPr>
        <w:t>Categories of Consensus and Evidence</w:t>
      </w:r>
      <w:bookmarkEnd w:id="7"/>
    </w:p>
    <w:p w14:paraId="1E9012CB" w14:textId="77777777" w:rsidR="00693534" w:rsidRPr="00693534" w:rsidRDefault="00693534" w:rsidP="00693534">
      <w:pPr>
        <w:numPr>
          <w:ilvl w:val="0"/>
          <w:numId w:val="0"/>
        </w:numPr>
      </w:pPr>
    </w:p>
    <w:p w14:paraId="7CE9D6D0" w14:textId="1B8A057B" w:rsidR="00813BFD" w:rsidRPr="00FB2B15" w:rsidRDefault="00813BFD" w:rsidP="00813BFD">
      <w:pPr>
        <w:pStyle w:val="NoSpacing"/>
        <w:numPr>
          <w:ilvl w:val="0"/>
          <w:numId w:val="6"/>
        </w:numPr>
        <w:rPr>
          <w:rFonts w:ascii="Arial" w:hAnsi="Arial" w:cs="Arial"/>
        </w:rPr>
      </w:pPr>
      <w:r w:rsidRPr="00FB2B15">
        <w:rPr>
          <w:rFonts w:ascii="Arial" w:hAnsi="Arial" w:cs="Arial"/>
        </w:rPr>
        <w:t>Assign a consensus category to each regimen</w:t>
      </w:r>
    </w:p>
    <w:p w14:paraId="19010718" w14:textId="6D64052B" w:rsidR="00813BFD" w:rsidRPr="00FB2B15" w:rsidRDefault="00813BFD" w:rsidP="00813BFD">
      <w:pPr>
        <w:pStyle w:val="NoSpacing"/>
        <w:numPr>
          <w:ilvl w:val="0"/>
          <w:numId w:val="6"/>
        </w:numPr>
        <w:rPr>
          <w:rFonts w:ascii="Arial" w:hAnsi="Arial" w:cs="Arial"/>
        </w:rPr>
      </w:pPr>
      <w:r w:rsidRPr="00FB2B15">
        <w:rPr>
          <w:rFonts w:ascii="Arial" w:hAnsi="Arial" w:cs="Arial"/>
        </w:rPr>
        <w:t>Search for consensus assignment in this order:</w:t>
      </w:r>
    </w:p>
    <w:p w14:paraId="3127467F" w14:textId="0326D9A2" w:rsidR="00813BFD" w:rsidRPr="00FB2B15" w:rsidRDefault="00813BFD" w:rsidP="00813BFD">
      <w:pPr>
        <w:pStyle w:val="NoSpacing"/>
        <w:numPr>
          <w:ilvl w:val="0"/>
          <w:numId w:val="9"/>
        </w:numPr>
        <w:rPr>
          <w:rFonts w:ascii="Arial" w:hAnsi="Arial" w:cs="Arial"/>
        </w:rPr>
      </w:pPr>
      <w:r w:rsidRPr="00FB2B15">
        <w:rPr>
          <w:rFonts w:ascii="Arial" w:hAnsi="Arial" w:cs="Arial"/>
        </w:rPr>
        <w:t>Table containing all treatments and consensus category on the slide preceding the evidence blocks</w:t>
      </w:r>
    </w:p>
    <w:p w14:paraId="0477CC7C" w14:textId="28AA7B6A" w:rsidR="00813BFD" w:rsidRPr="00FB2B15" w:rsidRDefault="00813BFD" w:rsidP="00813BFD">
      <w:pPr>
        <w:pStyle w:val="NoSpacing"/>
        <w:numPr>
          <w:ilvl w:val="0"/>
          <w:numId w:val="9"/>
        </w:numPr>
        <w:rPr>
          <w:rFonts w:ascii="Arial" w:hAnsi="Arial" w:cs="Arial"/>
        </w:rPr>
      </w:pPr>
      <w:r w:rsidRPr="00FB2B15">
        <w:rPr>
          <w:rFonts w:ascii="Arial" w:hAnsi="Arial" w:cs="Arial"/>
        </w:rPr>
        <w:t>Flow charts of regimens towards the beginning of the slide deck</w:t>
      </w:r>
    </w:p>
    <w:p w14:paraId="2F4D6248" w14:textId="5CBE2C7B" w:rsidR="00412192" w:rsidRPr="00FB2B15" w:rsidRDefault="00412192" w:rsidP="00813BFD">
      <w:pPr>
        <w:pStyle w:val="NoSpacing"/>
        <w:numPr>
          <w:ilvl w:val="0"/>
          <w:numId w:val="9"/>
        </w:numPr>
        <w:rPr>
          <w:rFonts w:ascii="Arial" w:hAnsi="Arial" w:cs="Arial"/>
        </w:rPr>
      </w:pPr>
      <w:r w:rsidRPr="00FB2B15">
        <w:rPr>
          <w:rFonts w:ascii="Arial" w:hAnsi="Arial" w:cs="Arial"/>
        </w:rPr>
        <w:t xml:space="preserve">If consensus category </w:t>
      </w:r>
      <w:r w:rsidR="00AD726D" w:rsidRPr="00FB2B15">
        <w:rPr>
          <w:rFonts w:ascii="Arial" w:hAnsi="Arial" w:cs="Arial"/>
        </w:rPr>
        <w:t xml:space="preserve">is </w:t>
      </w:r>
      <w:r w:rsidRPr="00FB2B15">
        <w:rPr>
          <w:rFonts w:ascii="Arial" w:hAnsi="Arial" w:cs="Arial"/>
        </w:rPr>
        <w:t xml:space="preserve">not </w:t>
      </w:r>
      <w:r w:rsidR="00AD726D" w:rsidRPr="00FB2B15">
        <w:rPr>
          <w:rFonts w:ascii="Arial" w:hAnsi="Arial" w:cs="Arial"/>
        </w:rPr>
        <w:t>specified</w:t>
      </w:r>
      <w:r w:rsidRPr="00FB2B15">
        <w:rPr>
          <w:rFonts w:ascii="Arial" w:hAnsi="Arial" w:cs="Arial"/>
        </w:rPr>
        <w:t xml:space="preserve"> in </w:t>
      </w:r>
      <w:r w:rsidR="00AD726D" w:rsidRPr="00FB2B15">
        <w:rPr>
          <w:rFonts w:ascii="Arial" w:hAnsi="Arial" w:cs="Arial"/>
        </w:rPr>
        <w:t xml:space="preserve">either </w:t>
      </w:r>
      <w:r w:rsidRPr="00FB2B15">
        <w:rPr>
          <w:rFonts w:ascii="Arial" w:hAnsi="Arial" w:cs="Arial"/>
        </w:rPr>
        <w:t>guideline</w:t>
      </w:r>
      <w:r w:rsidR="00AD726D" w:rsidRPr="00FB2B15">
        <w:rPr>
          <w:rFonts w:ascii="Arial" w:hAnsi="Arial" w:cs="Arial"/>
        </w:rPr>
        <w:t xml:space="preserve"> location</w:t>
      </w:r>
      <w:r w:rsidRPr="00FB2B15">
        <w:rPr>
          <w:rFonts w:ascii="Arial" w:hAnsi="Arial" w:cs="Arial"/>
        </w:rPr>
        <w:t xml:space="preserve">, assign </w:t>
      </w:r>
      <w:r w:rsidR="00AD726D" w:rsidRPr="00FB2B15">
        <w:rPr>
          <w:rFonts w:ascii="Arial" w:hAnsi="Arial" w:cs="Arial"/>
        </w:rPr>
        <w:t xml:space="preserve">level </w:t>
      </w:r>
      <w:r w:rsidRPr="00FB2B15">
        <w:rPr>
          <w:rFonts w:ascii="Arial" w:hAnsi="Arial" w:cs="Arial"/>
        </w:rPr>
        <w:t xml:space="preserve">2A </w:t>
      </w:r>
    </w:p>
    <w:p w14:paraId="0CE86B55" w14:textId="7DEED20C" w:rsidR="00FE439A" w:rsidRDefault="00FE439A" w:rsidP="00FE439A">
      <w:pPr>
        <w:pStyle w:val="NoSpacing"/>
        <w:numPr>
          <w:ilvl w:val="0"/>
          <w:numId w:val="23"/>
        </w:numPr>
        <w:rPr>
          <w:rFonts w:ascii="Arial" w:hAnsi="Arial" w:cs="Arial"/>
        </w:rPr>
      </w:pPr>
      <w:r w:rsidRPr="00FB2B15">
        <w:rPr>
          <w:rFonts w:ascii="Arial" w:hAnsi="Arial" w:cs="Arial"/>
        </w:rPr>
        <w:t>In some cases, the NCCN assigns consensus and evidence scores more granularly than evidence block scores (e.g. evidence block indication is for ‘adjuvant and neoadjuvant chemo’ while consensus and evidence score differs whether the setting is adjuvant or neoadjuvant). In th</w:t>
      </w:r>
      <w:r w:rsidR="00184FC7">
        <w:rPr>
          <w:rFonts w:ascii="Arial" w:hAnsi="Arial" w:cs="Arial"/>
        </w:rPr>
        <w:t>e</w:t>
      </w:r>
      <w:r w:rsidRPr="00FB2B15">
        <w:rPr>
          <w:rFonts w:ascii="Arial" w:hAnsi="Arial" w:cs="Arial"/>
        </w:rPr>
        <w:t>se cases</w:t>
      </w:r>
      <w:r w:rsidR="00184FC7">
        <w:rPr>
          <w:rFonts w:ascii="Arial" w:hAnsi="Arial" w:cs="Arial"/>
        </w:rPr>
        <w:t>, we created to separate unique IDs to describe the treatment</w:t>
      </w:r>
      <w:r w:rsidRPr="00FB2B15">
        <w:rPr>
          <w:rFonts w:ascii="Arial" w:hAnsi="Arial" w:cs="Arial"/>
        </w:rPr>
        <w:t xml:space="preserve">, </w:t>
      </w:r>
      <w:r w:rsidR="00184FC7">
        <w:rPr>
          <w:rFonts w:ascii="Arial" w:hAnsi="Arial" w:cs="Arial"/>
        </w:rPr>
        <w:t xml:space="preserve">with </w:t>
      </w:r>
      <w:r w:rsidRPr="00FB2B15">
        <w:rPr>
          <w:rFonts w:ascii="Arial" w:hAnsi="Arial" w:cs="Arial"/>
        </w:rPr>
        <w:t>each assigned a different consensus and evidence score</w:t>
      </w:r>
      <w:r w:rsidR="004C5C72">
        <w:rPr>
          <w:rFonts w:ascii="Arial" w:hAnsi="Arial" w:cs="Arial"/>
        </w:rPr>
        <w:t>.</w:t>
      </w:r>
    </w:p>
    <w:p w14:paraId="0D905150" w14:textId="3339B551" w:rsidR="00EA1D64" w:rsidRDefault="00EA1D64" w:rsidP="00693534">
      <w:pPr>
        <w:pStyle w:val="Heading1"/>
        <w:numPr>
          <w:ilvl w:val="0"/>
          <w:numId w:val="0"/>
        </w:numPr>
        <w:rPr>
          <w:rFonts w:ascii="Arial" w:hAnsi="Arial" w:cs="Arial"/>
          <w:color w:val="auto"/>
          <w:u w:val="single"/>
        </w:rPr>
      </w:pPr>
      <w:bookmarkStart w:id="8" w:name="_Toc194582575"/>
      <w:r w:rsidRPr="00693534">
        <w:rPr>
          <w:rFonts w:ascii="Arial" w:hAnsi="Arial" w:cs="Arial"/>
          <w:color w:val="auto"/>
          <w:u w:val="single"/>
        </w:rPr>
        <w:t>Regimen Type</w:t>
      </w:r>
      <w:r w:rsidR="00676328">
        <w:rPr>
          <w:rFonts w:ascii="Arial" w:hAnsi="Arial" w:cs="Arial"/>
          <w:color w:val="auto"/>
          <w:u w:val="single"/>
        </w:rPr>
        <w:t>s</w:t>
      </w:r>
      <w:bookmarkEnd w:id="8"/>
    </w:p>
    <w:p w14:paraId="0F0F6298" w14:textId="77777777" w:rsidR="00693534" w:rsidRPr="00693534" w:rsidRDefault="00693534" w:rsidP="00693534">
      <w:pPr>
        <w:numPr>
          <w:ilvl w:val="0"/>
          <w:numId w:val="0"/>
        </w:numPr>
      </w:pPr>
    </w:p>
    <w:p w14:paraId="3513C366" w14:textId="5C135AB9" w:rsidR="00EA1D64" w:rsidRPr="00A63EB9" w:rsidRDefault="00EA1D64" w:rsidP="00EA1D64">
      <w:pPr>
        <w:pStyle w:val="NoSpacing"/>
        <w:numPr>
          <w:ilvl w:val="0"/>
          <w:numId w:val="24"/>
        </w:numPr>
        <w:rPr>
          <w:rFonts w:ascii="Arial" w:hAnsi="Arial" w:cs="Arial"/>
          <w:sz w:val="32"/>
          <w:szCs w:val="32"/>
        </w:rPr>
      </w:pPr>
      <w:r w:rsidRPr="00FB2B15">
        <w:rPr>
          <w:rFonts w:ascii="Arial" w:hAnsi="Arial" w:cs="Arial"/>
        </w:rPr>
        <w:t xml:space="preserve">‘Regimen type’ is </w:t>
      </w:r>
      <w:r w:rsidR="00FB2B15" w:rsidRPr="00FB2B15">
        <w:rPr>
          <w:rFonts w:ascii="Arial" w:hAnsi="Arial" w:cs="Arial"/>
        </w:rPr>
        <w:t>used to differentiate</w:t>
      </w:r>
      <w:r w:rsidRPr="00FB2B15">
        <w:rPr>
          <w:rFonts w:ascii="Arial" w:hAnsi="Arial" w:cs="Arial"/>
        </w:rPr>
        <w:t xml:space="preserve"> whether a given treatment is ‘time limited’ </w:t>
      </w:r>
      <w:r w:rsidR="00FB2B15" w:rsidRPr="00FB2B15">
        <w:rPr>
          <w:rFonts w:ascii="Arial" w:hAnsi="Arial" w:cs="Arial"/>
        </w:rPr>
        <w:t xml:space="preserve">(aka, “defined course”) </w:t>
      </w:r>
      <w:r w:rsidRPr="00FB2B15">
        <w:rPr>
          <w:rFonts w:ascii="Arial" w:hAnsi="Arial" w:cs="Arial"/>
        </w:rPr>
        <w:t>or ‘time unlimited’</w:t>
      </w:r>
      <w:r w:rsidR="00FB2B15" w:rsidRPr="00FB2B15">
        <w:rPr>
          <w:rFonts w:ascii="Arial" w:hAnsi="Arial" w:cs="Arial"/>
        </w:rPr>
        <w:t xml:space="preserve"> (aka, “undefined” course) </w:t>
      </w:r>
    </w:p>
    <w:p w14:paraId="166578AB" w14:textId="39A440DE" w:rsidR="00A63EB9" w:rsidRPr="006841AD" w:rsidRDefault="00A63EB9" w:rsidP="00EA1D64">
      <w:pPr>
        <w:pStyle w:val="NoSpacing"/>
        <w:numPr>
          <w:ilvl w:val="0"/>
          <w:numId w:val="24"/>
        </w:numPr>
        <w:rPr>
          <w:rFonts w:ascii="Arial" w:hAnsi="Arial" w:cs="Arial"/>
          <w:sz w:val="32"/>
          <w:szCs w:val="32"/>
        </w:rPr>
      </w:pPr>
      <w:bookmarkStart w:id="9" w:name="_Toc194582576"/>
      <w:r w:rsidRPr="00743CBF">
        <w:rPr>
          <w:rStyle w:val="Heading2Char"/>
          <w:rFonts w:ascii="Arial" w:hAnsi="Arial" w:cs="Arial"/>
          <w:b/>
          <w:bCs/>
          <w:color w:val="auto"/>
          <w:sz w:val="22"/>
          <w:szCs w:val="22"/>
        </w:rPr>
        <w:t>Time limited</w:t>
      </w:r>
      <w:r w:rsidRPr="00522174">
        <w:rPr>
          <w:rStyle w:val="Heading2Char"/>
          <w:rFonts w:ascii="Arial" w:hAnsi="Arial" w:cs="Arial"/>
          <w:color w:val="auto"/>
          <w:sz w:val="22"/>
          <w:szCs w:val="22"/>
        </w:rPr>
        <w:t xml:space="preserve"> treatments</w:t>
      </w:r>
      <w:bookmarkEnd w:id="9"/>
      <w:r w:rsidRPr="00522174">
        <w:rPr>
          <w:rFonts w:ascii="Arial" w:hAnsi="Arial" w:cs="Arial"/>
        </w:rPr>
        <w:t xml:space="preserve"> </w:t>
      </w:r>
      <w:r w:rsidR="00594B2A">
        <w:rPr>
          <w:rFonts w:ascii="Arial" w:hAnsi="Arial" w:cs="Arial"/>
        </w:rPr>
        <w:t xml:space="preserve">(aka, “defined” course) </w:t>
      </w:r>
      <w:r>
        <w:rPr>
          <w:rFonts w:ascii="Arial" w:hAnsi="Arial" w:cs="Arial"/>
        </w:rPr>
        <w:t xml:space="preserve">are those that are intended to be administered for certain duration (typically, a number of cycles or a number of months) and then stopped. This often occurs in patients receiving "adjuvant” or “neoadjuvant” treatment for curable disease. </w:t>
      </w:r>
    </w:p>
    <w:p w14:paraId="48BB66D5" w14:textId="1B731637" w:rsidR="006841AD" w:rsidRPr="00A63EB9" w:rsidRDefault="006841AD" w:rsidP="006841AD">
      <w:pPr>
        <w:pStyle w:val="NoSpacing"/>
        <w:numPr>
          <w:ilvl w:val="1"/>
          <w:numId w:val="24"/>
        </w:numPr>
        <w:rPr>
          <w:rFonts w:ascii="Arial" w:hAnsi="Arial" w:cs="Arial"/>
          <w:sz w:val="32"/>
          <w:szCs w:val="32"/>
        </w:rPr>
      </w:pPr>
      <w:r>
        <w:rPr>
          <w:rFonts w:ascii="Arial" w:hAnsi="Arial" w:cs="Arial"/>
        </w:rPr>
        <w:t xml:space="preserve">For time limited treatments, we calculate the cost for the </w:t>
      </w:r>
      <w:r w:rsidRPr="006841AD">
        <w:rPr>
          <w:rFonts w:ascii="Arial" w:hAnsi="Arial" w:cs="Arial"/>
          <w:u w:val="single"/>
        </w:rPr>
        <w:t>full course of treatment</w:t>
      </w:r>
      <w:r>
        <w:rPr>
          <w:rFonts w:ascii="Arial" w:hAnsi="Arial" w:cs="Arial"/>
        </w:rPr>
        <w:t xml:space="preserve">. </w:t>
      </w:r>
    </w:p>
    <w:p w14:paraId="3F8463EE" w14:textId="3F4C2FE8" w:rsidR="00A63EB9" w:rsidRPr="006841AD" w:rsidRDefault="00A63EB9" w:rsidP="00EA1D64">
      <w:pPr>
        <w:pStyle w:val="NoSpacing"/>
        <w:numPr>
          <w:ilvl w:val="0"/>
          <w:numId w:val="24"/>
        </w:numPr>
        <w:rPr>
          <w:rFonts w:ascii="Arial" w:hAnsi="Arial" w:cs="Arial"/>
          <w:sz w:val="32"/>
          <w:szCs w:val="32"/>
        </w:rPr>
      </w:pPr>
      <w:bookmarkStart w:id="10" w:name="_Toc194582577"/>
      <w:r w:rsidRPr="00743CBF">
        <w:rPr>
          <w:rStyle w:val="Heading2Char"/>
          <w:rFonts w:ascii="Arial" w:hAnsi="Arial" w:cs="Arial"/>
          <w:b/>
          <w:bCs/>
          <w:color w:val="auto"/>
          <w:sz w:val="22"/>
          <w:szCs w:val="22"/>
        </w:rPr>
        <w:t>Time unlimited</w:t>
      </w:r>
      <w:r w:rsidRPr="00522174">
        <w:rPr>
          <w:rStyle w:val="Heading2Char"/>
          <w:rFonts w:ascii="Arial" w:hAnsi="Arial" w:cs="Arial"/>
          <w:color w:val="auto"/>
          <w:sz w:val="22"/>
          <w:szCs w:val="22"/>
        </w:rPr>
        <w:t xml:space="preserve"> treatments</w:t>
      </w:r>
      <w:bookmarkEnd w:id="10"/>
      <w:r w:rsidR="00594B2A">
        <w:rPr>
          <w:rStyle w:val="Heading2Char"/>
          <w:rFonts w:ascii="Arial" w:hAnsi="Arial" w:cs="Arial"/>
          <w:color w:val="auto"/>
          <w:sz w:val="22"/>
          <w:szCs w:val="22"/>
        </w:rPr>
        <w:t xml:space="preserve"> (aka, “undefined” course)</w:t>
      </w:r>
      <w:r w:rsidRPr="00522174">
        <w:rPr>
          <w:rFonts w:ascii="Arial" w:hAnsi="Arial" w:cs="Arial"/>
        </w:rPr>
        <w:t xml:space="preserve"> </w:t>
      </w:r>
      <w:r>
        <w:rPr>
          <w:rFonts w:ascii="Arial" w:hAnsi="Arial" w:cs="Arial"/>
        </w:rPr>
        <w:t xml:space="preserve">are those that are continued “until disease progression or unacceptable toxicity” – </w:t>
      </w:r>
      <w:proofErr w:type="spellStart"/>
      <w:r>
        <w:rPr>
          <w:rFonts w:ascii="Arial" w:hAnsi="Arial" w:cs="Arial"/>
        </w:rPr>
        <w:t>eg.</w:t>
      </w:r>
      <w:proofErr w:type="spellEnd"/>
      <w:r>
        <w:rPr>
          <w:rFonts w:ascii="Arial" w:hAnsi="Arial" w:cs="Arial"/>
        </w:rPr>
        <w:t>, as long as the treatment continues to work. Often just months, but in some cases m</w:t>
      </w:r>
      <w:r w:rsidR="004F4AD9">
        <w:rPr>
          <w:rFonts w:ascii="Arial" w:hAnsi="Arial" w:cs="Arial"/>
        </w:rPr>
        <w:t>e</w:t>
      </w:r>
      <w:r>
        <w:rPr>
          <w:rFonts w:ascii="Arial" w:hAnsi="Arial" w:cs="Arial"/>
        </w:rPr>
        <w:t xml:space="preserve">an years. These treatments often apply to patients with metastatic, incurable disease. </w:t>
      </w:r>
    </w:p>
    <w:p w14:paraId="7B9E3509" w14:textId="77557EB4" w:rsidR="006841AD" w:rsidRPr="006841AD" w:rsidRDefault="006841AD" w:rsidP="006841AD">
      <w:pPr>
        <w:pStyle w:val="NoSpacing"/>
        <w:numPr>
          <w:ilvl w:val="1"/>
          <w:numId w:val="24"/>
        </w:numPr>
        <w:rPr>
          <w:rFonts w:ascii="Arial" w:hAnsi="Arial" w:cs="Arial"/>
          <w:sz w:val="32"/>
          <w:szCs w:val="32"/>
        </w:rPr>
      </w:pPr>
      <w:r>
        <w:rPr>
          <w:rFonts w:ascii="Arial" w:hAnsi="Arial" w:cs="Arial"/>
        </w:rPr>
        <w:t xml:space="preserve">For time unlimited treatments, we calculate the cost </w:t>
      </w:r>
      <w:r w:rsidRPr="006841AD">
        <w:rPr>
          <w:rFonts w:ascii="Arial" w:hAnsi="Arial" w:cs="Arial"/>
          <w:u w:val="single"/>
        </w:rPr>
        <w:t>per month of treatment</w:t>
      </w:r>
      <w:r>
        <w:rPr>
          <w:rFonts w:ascii="Arial" w:hAnsi="Arial" w:cs="Arial"/>
        </w:rPr>
        <w:t xml:space="preserve">. </w:t>
      </w:r>
    </w:p>
    <w:p w14:paraId="48E3B2D0" w14:textId="5433BE22" w:rsidR="006841AD" w:rsidRPr="006841AD" w:rsidRDefault="006841AD" w:rsidP="006841AD">
      <w:pPr>
        <w:pStyle w:val="NoSpacing"/>
        <w:numPr>
          <w:ilvl w:val="1"/>
          <w:numId w:val="24"/>
        </w:numPr>
        <w:rPr>
          <w:rFonts w:ascii="Arial" w:hAnsi="Arial" w:cs="Arial"/>
          <w:sz w:val="32"/>
          <w:szCs w:val="32"/>
        </w:rPr>
      </w:pPr>
      <w:r>
        <w:rPr>
          <w:rFonts w:ascii="Arial" w:hAnsi="Arial" w:cs="Arial"/>
        </w:rPr>
        <w:t xml:space="preserve">Note: in order to account for instances where the cost of treatment varies across the initial months of therapy (such as cases wherein a drug dose is slowing escalated, or an initial higher “loading dose” is given), our monthly cost is obtained conceptually by calculating the cost over the first full year of therapy, and then dividing by 12. </w:t>
      </w:r>
    </w:p>
    <w:p w14:paraId="6BF0ADCB" w14:textId="0B483F68" w:rsidR="00693534" w:rsidRDefault="000848FE" w:rsidP="00693534">
      <w:pPr>
        <w:pStyle w:val="Heading1"/>
        <w:numPr>
          <w:ilvl w:val="0"/>
          <w:numId w:val="0"/>
        </w:numPr>
        <w:rPr>
          <w:rFonts w:ascii="Arial" w:hAnsi="Arial" w:cs="Arial"/>
          <w:color w:val="auto"/>
          <w:u w:val="single"/>
        </w:rPr>
      </w:pPr>
      <w:bookmarkStart w:id="11" w:name="_Toc194582578"/>
      <w:r w:rsidRPr="00693534">
        <w:rPr>
          <w:rFonts w:ascii="Arial" w:hAnsi="Arial" w:cs="Arial"/>
          <w:color w:val="auto"/>
          <w:u w:val="single"/>
        </w:rPr>
        <w:t>Dosing</w:t>
      </w:r>
      <w:bookmarkEnd w:id="11"/>
    </w:p>
    <w:p w14:paraId="5C6F5AA1" w14:textId="77777777" w:rsidR="00693534" w:rsidRPr="00693534" w:rsidRDefault="00693534" w:rsidP="00693534">
      <w:pPr>
        <w:numPr>
          <w:ilvl w:val="0"/>
          <w:numId w:val="0"/>
        </w:numPr>
      </w:pPr>
    </w:p>
    <w:p w14:paraId="625A4446" w14:textId="2370BCDB" w:rsidR="00083FFF" w:rsidRPr="00FB2B15" w:rsidRDefault="006841AD" w:rsidP="000778B0">
      <w:pPr>
        <w:pStyle w:val="NoSpacing"/>
        <w:rPr>
          <w:rFonts w:ascii="Arial" w:hAnsi="Arial" w:cs="Arial"/>
        </w:rPr>
      </w:pPr>
      <w:r>
        <w:rPr>
          <w:rFonts w:ascii="Arial" w:hAnsi="Arial" w:cs="Arial"/>
        </w:rPr>
        <w:t>When drug dose is based on body mass or surface area, we assume</w:t>
      </w:r>
      <w:r w:rsidR="00083FFF" w:rsidRPr="00FB2B15">
        <w:rPr>
          <w:rFonts w:ascii="Arial" w:hAnsi="Arial" w:cs="Arial"/>
        </w:rPr>
        <w:t xml:space="preserve"> 70 kg body </w:t>
      </w:r>
      <w:r>
        <w:rPr>
          <w:rFonts w:ascii="Arial" w:hAnsi="Arial" w:cs="Arial"/>
        </w:rPr>
        <w:t>mass</w:t>
      </w:r>
      <w:r w:rsidR="00083FFF" w:rsidRPr="00FB2B15">
        <w:rPr>
          <w:rFonts w:ascii="Arial" w:hAnsi="Arial" w:cs="Arial"/>
        </w:rPr>
        <w:t xml:space="preserve"> and 1.7 m</w:t>
      </w:r>
      <w:r w:rsidR="00083FFF" w:rsidRPr="00FB2B15">
        <w:rPr>
          <w:rFonts w:ascii="Arial" w:hAnsi="Arial" w:cs="Arial"/>
          <w:vertAlign w:val="superscript"/>
        </w:rPr>
        <w:t>2</w:t>
      </w:r>
      <w:r w:rsidR="00083FFF" w:rsidRPr="00FB2B15">
        <w:rPr>
          <w:rFonts w:ascii="Arial" w:hAnsi="Arial" w:cs="Arial"/>
        </w:rPr>
        <w:t xml:space="preserve"> body surface area </w:t>
      </w:r>
    </w:p>
    <w:p w14:paraId="250099FE" w14:textId="77777777" w:rsidR="00083FFF" w:rsidRPr="00FB2B15" w:rsidRDefault="00083FFF" w:rsidP="0077098D">
      <w:pPr>
        <w:pStyle w:val="NoSpacing"/>
        <w:rPr>
          <w:rFonts w:ascii="Arial" w:hAnsi="Arial" w:cs="Arial"/>
          <w:b/>
        </w:rPr>
      </w:pPr>
    </w:p>
    <w:p w14:paraId="7C6B52A9" w14:textId="4B39E9AA" w:rsidR="000848FE" w:rsidRPr="00872EA2" w:rsidRDefault="004421B1" w:rsidP="00872EA2">
      <w:pPr>
        <w:pStyle w:val="Heading2"/>
        <w:numPr>
          <w:ilvl w:val="0"/>
          <w:numId w:val="0"/>
        </w:numPr>
        <w:rPr>
          <w:rStyle w:val="SubtleEmphasis"/>
          <w:rFonts w:ascii="Arial" w:hAnsi="Arial" w:cs="Arial"/>
          <w:b/>
          <w:bCs/>
          <w:i w:val="0"/>
          <w:iCs w:val="0"/>
          <w:color w:val="auto"/>
          <w:sz w:val="22"/>
          <w:szCs w:val="22"/>
        </w:rPr>
      </w:pPr>
      <w:bookmarkStart w:id="12" w:name="_Toc194582579"/>
      <w:r w:rsidRPr="004421B1">
        <w:rPr>
          <w:rStyle w:val="SubtleEmphasis"/>
          <w:rFonts w:ascii="Arial" w:hAnsi="Arial" w:cs="Arial"/>
          <w:b/>
          <w:bCs/>
          <w:i w:val="0"/>
          <w:iCs w:val="0"/>
          <w:color w:val="auto"/>
          <w:sz w:val="22"/>
          <w:szCs w:val="22"/>
        </w:rPr>
        <w:t>Hierarchy of information sources for dosing</w:t>
      </w:r>
      <w:r w:rsidR="000848FE" w:rsidRPr="00872EA2">
        <w:rPr>
          <w:rStyle w:val="SubtleEmphasis"/>
          <w:rFonts w:ascii="Arial" w:hAnsi="Arial" w:cs="Arial"/>
          <w:b/>
          <w:bCs/>
          <w:i w:val="0"/>
          <w:iCs w:val="0"/>
          <w:color w:val="auto"/>
          <w:sz w:val="22"/>
          <w:szCs w:val="22"/>
        </w:rPr>
        <w:t>:</w:t>
      </w:r>
      <w:bookmarkEnd w:id="12"/>
    </w:p>
    <w:p w14:paraId="5E88F300" w14:textId="15CB2B91" w:rsidR="000848FE" w:rsidRPr="00FB2B15" w:rsidRDefault="000848FE" w:rsidP="000848FE">
      <w:pPr>
        <w:pStyle w:val="NoSpacing"/>
        <w:numPr>
          <w:ilvl w:val="0"/>
          <w:numId w:val="3"/>
        </w:numPr>
        <w:rPr>
          <w:rFonts w:ascii="Arial" w:hAnsi="Arial" w:cs="Arial"/>
        </w:rPr>
      </w:pPr>
      <w:r w:rsidRPr="00FB2B15">
        <w:rPr>
          <w:rFonts w:ascii="Arial" w:hAnsi="Arial" w:cs="Arial"/>
        </w:rPr>
        <w:t>dosing schedules specified within the NCCN guidelines</w:t>
      </w:r>
    </w:p>
    <w:p w14:paraId="43AAB742" w14:textId="45BB587C" w:rsidR="000848FE" w:rsidRPr="00FB2B15" w:rsidRDefault="000848FE" w:rsidP="000848FE">
      <w:pPr>
        <w:pStyle w:val="NoSpacing"/>
        <w:numPr>
          <w:ilvl w:val="0"/>
          <w:numId w:val="3"/>
        </w:numPr>
        <w:rPr>
          <w:rFonts w:ascii="Arial" w:hAnsi="Arial" w:cs="Arial"/>
        </w:rPr>
      </w:pPr>
      <w:r w:rsidRPr="00FB2B15">
        <w:rPr>
          <w:rFonts w:ascii="Arial" w:hAnsi="Arial" w:cs="Arial"/>
        </w:rPr>
        <w:t>standard dosing levels specified on the drug label (</w:t>
      </w:r>
      <w:hyperlink r:id="rId15" w:history="1">
        <w:r w:rsidRPr="00FB2B15">
          <w:rPr>
            <w:rStyle w:val="Hyperlink"/>
            <w:rFonts w:ascii="Arial" w:hAnsi="Arial" w:cs="Arial"/>
          </w:rPr>
          <w:t>https://www.uptodate.com/contents/search</w:t>
        </w:r>
      </w:hyperlink>
      <w:r w:rsidRPr="00FB2B15">
        <w:rPr>
          <w:rFonts w:ascii="Arial" w:hAnsi="Arial" w:cs="Arial"/>
        </w:rPr>
        <w:t>)</w:t>
      </w:r>
    </w:p>
    <w:p w14:paraId="3F3E5BDF" w14:textId="7C1DFEC5" w:rsidR="00B45305" w:rsidRPr="00FB2B15" w:rsidRDefault="00B45305" w:rsidP="00B45305">
      <w:pPr>
        <w:pStyle w:val="NoSpacing"/>
        <w:numPr>
          <w:ilvl w:val="1"/>
          <w:numId w:val="3"/>
        </w:numPr>
        <w:rPr>
          <w:rFonts w:ascii="Arial" w:hAnsi="Arial" w:cs="Arial"/>
        </w:rPr>
      </w:pPr>
      <w:r w:rsidRPr="00FB2B15">
        <w:rPr>
          <w:rFonts w:ascii="Arial" w:hAnsi="Arial" w:cs="Arial"/>
        </w:rPr>
        <w:lastRenderedPageBreak/>
        <w:t xml:space="preserve">When </w:t>
      </w:r>
      <w:r w:rsidR="00C930A5">
        <w:rPr>
          <w:rFonts w:ascii="Arial" w:hAnsi="Arial" w:cs="Arial"/>
        </w:rPr>
        <w:t>both</w:t>
      </w:r>
      <w:r w:rsidR="00175B19" w:rsidRPr="00FB2B15">
        <w:rPr>
          <w:rFonts w:ascii="Arial" w:hAnsi="Arial" w:cs="Arial"/>
        </w:rPr>
        <w:t xml:space="preserve"> on-label and off-label dosing schedules</w:t>
      </w:r>
      <w:r w:rsidR="00C930A5">
        <w:rPr>
          <w:rFonts w:ascii="Arial" w:hAnsi="Arial" w:cs="Arial"/>
        </w:rPr>
        <w:t xml:space="preserve"> are specified</w:t>
      </w:r>
      <w:r w:rsidR="00175B19" w:rsidRPr="00FB2B15">
        <w:rPr>
          <w:rFonts w:ascii="Arial" w:hAnsi="Arial" w:cs="Arial"/>
        </w:rPr>
        <w:t xml:space="preserve">, prioritize on-label. </w:t>
      </w:r>
    </w:p>
    <w:p w14:paraId="398C88B1" w14:textId="771FC2EA" w:rsidR="000848FE" w:rsidRPr="00FB2B15" w:rsidRDefault="000848FE" w:rsidP="0077098D">
      <w:pPr>
        <w:pStyle w:val="NoSpacing"/>
        <w:numPr>
          <w:ilvl w:val="0"/>
          <w:numId w:val="3"/>
        </w:numPr>
        <w:rPr>
          <w:rFonts w:ascii="Arial" w:hAnsi="Arial" w:cs="Arial"/>
        </w:rPr>
      </w:pPr>
      <w:r w:rsidRPr="00FB2B15">
        <w:rPr>
          <w:rFonts w:ascii="Arial" w:hAnsi="Arial" w:cs="Arial"/>
        </w:rPr>
        <w:t>a dosing schedule from the reference or references cited by the NCCN guidelines for each treatment</w:t>
      </w:r>
    </w:p>
    <w:p w14:paraId="188587EA" w14:textId="032CD9AA" w:rsidR="00D7785D" w:rsidRPr="00FB2B15" w:rsidRDefault="00D7785D" w:rsidP="0077098D">
      <w:pPr>
        <w:pStyle w:val="NoSpacing"/>
        <w:numPr>
          <w:ilvl w:val="0"/>
          <w:numId w:val="3"/>
        </w:numPr>
        <w:rPr>
          <w:rFonts w:ascii="Arial" w:hAnsi="Arial" w:cs="Arial"/>
        </w:rPr>
      </w:pPr>
      <w:r w:rsidRPr="00FB2B15">
        <w:rPr>
          <w:rFonts w:ascii="Arial" w:hAnsi="Arial" w:cs="Arial"/>
        </w:rPr>
        <w:t>a dosing schedule listed in the NCCN Drugs &amp; Biologics Compendium (</w:t>
      </w:r>
      <w:hyperlink r:id="rId16" w:history="1">
        <w:r w:rsidRPr="00FB2B15">
          <w:rPr>
            <w:rStyle w:val="Hyperlink"/>
            <w:rFonts w:ascii="Arial" w:hAnsi="Arial" w:cs="Arial"/>
          </w:rPr>
          <w:t>https://www.nccn.org/professionals/drug_compendium/content/</w:t>
        </w:r>
      </w:hyperlink>
      <w:r w:rsidRPr="00FB2B15">
        <w:rPr>
          <w:rFonts w:ascii="Arial" w:hAnsi="Arial" w:cs="Arial"/>
        </w:rPr>
        <w:t>)</w:t>
      </w:r>
    </w:p>
    <w:p w14:paraId="1C6EA83C" w14:textId="1C040D8C" w:rsidR="000848FE" w:rsidRPr="00FB2B15" w:rsidRDefault="000848FE" w:rsidP="0077098D">
      <w:pPr>
        <w:pStyle w:val="NoSpacing"/>
        <w:numPr>
          <w:ilvl w:val="0"/>
          <w:numId w:val="3"/>
        </w:numPr>
        <w:rPr>
          <w:rFonts w:ascii="Arial" w:hAnsi="Arial" w:cs="Arial"/>
        </w:rPr>
      </w:pPr>
      <w:r w:rsidRPr="00FB2B15">
        <w:rPr>
          <w:rFonts w:ascii="Arial" w:hAnsi="Arial" w:cs="Arial"/>
        </w:rPr>
        <w:t>a manual literature search in PubMed for a dosing schedule corresponding to the relevant indication</w:t>
      </w:r>
    </w:p>
    <w:p w14:paraId="62886310" w14:textId="79B3D3EF" w:rsidR="000848FE" w:rsidRPr="00FB2B15" w:rsidRDefault="000848FE" w:rsidP="0077098D">
      <w:pPr>
        <w:pStyle w:val="NoSpacing"/>
        <w:numPr>
          <w:ilvl w:val="0"/>
          <w:numId w:val="3"/>
        </w:numPr>
        <w:rPr>
          <w:rFonts w:ascii="Arial" w:hAnsi="Arial" w:cs="Arial"/>
        </w:rPr>
      </w:pPr>
      <w:r w:rsidRPr="00FB2B15">
        <w:rPr>
          <w:rFonts w:ascii="Arial" w:hAnsi="Arial" w:cs="Arial"/>
        </w:rPr>
        <w:t>If an applicable dosing schedule was not attainable through any of these sources, the treatment was excluded</w:t>
      </w:r>
      <w:r w:rsidR="00C930A5">
        <w:rPr>
          <w:rFonts w:ascii="Arial" w:hAnsi="Arial" w:cs="Arial"/>
        </w:rPr>
        <w:t xml:space="preserve"> (</w:t>
      </w:r>
      <w:proofErr w:type="spellStart"/>
      <w:r w:rsidR="00C930A5">
        <w:rPr>
          <w:rFonts w:ascii="Arial" w:hAnsi="Arial" w:cs="Arial"/>
        </w:rPr>
        <w:t>eg.</w:t>
      </w:r>
      <w:proofErr w:type="spellEnd"/>
      <w:r w:rsidR="00C930A5">
        <w:rPr>
          <w:rFonts w:ascii="Arial" w:hAnsi="Arial" w:cs="Arial"/>
        </w:rPr>
        <w:t xml:space="preserve">, “exclude” column = 1) </w:t>
      </w:r>
    </w:p>
    <w:p w14:paraId="4B5B5F34" w14:textId="5D2E19AC" w:rsidR="000848FE" w:rsidRPr="00FB2B15" w:rsidRDefault="000848FE" w:rsidP="000848FE">
      <w:pPr>
        <w:pStyle w:val="NoSpacing"/>
        <w:rPr>
          <w:rFonts w:ascii="Arial" w:hAnsi="Arial" w:cs="Arial"/>
        </w:rPr>
      </w:pPr>
    </w:p>
    <w:p w14:paraId="3E02E436" w14:textId="3FCEB12B" w:rsidR="000848FE" w:rsidRPr="00872EA2" w:rsidRDefault="004421B1" w:rsidP="00872EA2">
      <w:pPr>
        <w:pStyle w:val="Heading2"/>
        <w:numPr>
          <w:ilvl w:val="0"/>
          <w:numId w:val="0"/>
        </w:numPr>
        <w:rPr>
          <w:rFonts w:ascii="Arial" w:hAnsi="Arial" w:cs="Arial"/>
          <w:b/>
          <w:bCs/>
          <w:color w:val="auto"/>
          <w:sz w:val="22"/>
          <w:szCs w:val="22"/>
        </w:rPr>
      </w:pPr>
      <w:bookmarkStart w:id="13" w:name="_Toc194582580"/>
      <w:r w:rsidRPr="004421B1">
        <w:rPr>
          <w:rStyle w:val="Heading2Char"/>
          <w:rFonts w:ascii="Arial" w:hAnsi="Arial" w:cs="Arial"/>
          <w:b/>
          <w:bCs/>
          <w:color w:val="auto"/>
          <w:sz w:val="22"/>
          <w:szCs w:val="22"/>
        </w:rPr>
        <w:t>Regimens with multiple dosing schedules</w:t>
      </w:r>
      <w:r w:rsidR="000848FE" w:rsidRPr="00872EA2">
        <w:rPr>
          <w:rFonts w:ascii="Arial" w:hAnsi="Arial" w:cs="Arial"/>
          <w:b/>
          <w:bCs/>
          <w:color w:val="auto"/>
          <w:sz w:val="22"/>
          <w:szCs w:val="22"/>
        </w:rPr>
        <w:t>:</w:t>
      </w:r>
      <w:bookmarkEnd w:id="13"/>
    </w:p>
    <w:p w14:paraId="0FF9CD67" w14:textId="78C179CE" w:rsidR="000848FE" w:rsidRPr="00FB2B15" w:rsidRDefault="000848FE" w:rsidP="00EC0796">
      <w:pPr>
        <w:pStyle w:val="NoSpacing"/>
        <w:numPr>
          <w:ilvl w:val="0"/>
          <w:numId w:val="12"/>
        </w:numPr>
        <w:rPr>
          <w:rFonts w:ascii="Arial" w:hAnsi="Arial" w:cs="Arial"/>
        </w:rPr>
      </w:pPr>
      <w:r w:rsidRPr="00FB2B15">
        <w:rPr>
          <w:rFonts w:ascii="Arial" w:hAnsi="Arial" w:cs="Arial"/>
        </w:rPr>
        <w:t>In cases where there is a difference in dosing frequency, chose the option with LESS frequent dosing (</w:t>
      </w:r>
      <w:r w:rsidR="004A41A0" w:rsidRPr="00FB2B15">
        <w:rPr>
          <w:rFonts w:ascii="Arial" w:hAnsi="Arial" w:cs="Arial"/>
        </w:rPr>
        <w:t>e.g.</w:t>
      </w:r>
      <w:r w:rsidRPr="00FB2B15">
        <w:rPr>
          <w:rFonts w:ascii="Arial" w:hAnsi="Arial" w:cs="Arial"/>
        </w:rPr>
        <w:t>, 10 units of drug every two weeks, rather than 5 units of drug every week)</w:t>
      </w:r>
    </w:p>
    <w:p w14:paraId="05931C40" w14:textId="61269B61" w:rsidR="000848FE" w:rsidRDefault="000848FE" w:rsidP="00EC0796">
      <w:pPr>
        <w:pStyle w:val="NoSpacing"/>
        <w:numPr>
          <w:ilvl w:val="0"/>
          <w:numId w:val="12"/>
        </w:numPr>
        <w:rPr>
          <w:rFonts w:ascii="Arial" w:hAnsi="Arial" w:cs="Arial"/>
        </w:rPr>
      </w:pPr>
      <w:r w:rsidRPr="00FB2B15">
        <w:rPr>
          <w:rFonts w:ascii="Arial" w:hAnsi="Arial" w:cs="Arial"/>
        </w:rPr>
        <w:t>In cases where the dosing schedule is the same but there is a range of doses, choose the LOWER end of the dosing range (</w:t>
      </w:r>
      <w:r w:rsidR="004A41A0" w:rsidRPr="00FB2B15">
        <w:rPr>
          <w:rFonts w:ascii="Arial" w:hAnsi="Arial" w:cs="Arial"/>
        </w:rPr>
        <w:t>e.g.</w:t>
      </w:r>
      <w:r w:rsidRPr="00FB2B15">
        <w:rPr>
          <w:rFonts w:ascii="Arial" w:hAnsi="Arial" w:cs="Arial"/>
        </w:rPr>
        <w:t>, if NCCN says 800-1,200mg of gemcitabine, go with 800)</w:t>
      </w:r>
    </w:p>
    <w:p w14:paraId="62781A8D" w14:textId="77777777" w:rsidR="00872EA2" w:rsidRPr="00FB2B15" w:rsidRDefault="00872EA2" w:rsidP="00872EA2">
      <w:pPr>
        <w:pStyle w:val="NoSpacing"/>
        <w:rPr>
          <w:rFonts w:ascii="Arial" w:hAnsi="Arial" w:cs="Arial"/>
        </w:rPr>
      </w:pPr>
    </w:p>
    <w:p w14:paraId="658FD02D" w14:textId="793D3E44" w:rsidR="00F27D98" w:rsidRPr="00872EA2" w:rsidRDefault="00872EA2" w:rsidP="00872EA2">
      <w:pPr>
        <w:pStyle w:val="Heading2"/>
        <w:numPr>
          <w:ilvl w:val="0"/>
          <w:numId w:val="0"/>
        </w:numPr>
        <w:rPr>
          <w:rFonts w:ascii="Arial" w:hAnsi="Arial" w:cs="Arial"/>
          <w:b/>
          <w:bCs/>
          <w:color w:val="auto"/>
          <w:sz w:val="22"/>
          <w:szCs w:val="22"/>
        </w:rPr>
      </w:pPr>
      <w:bookmarkStart w:id="14" w:name="_Toc194582581"/>
      <w:r w:rsidRPr="00872EA2">
        <w:rPr>
          <w:rFonts w:ascii="Arial" w:hAnsi="Arial" w:cs="Arial"/>
          <w:b/>
          <w:bCs/>
          <w:color w:val="auto"/>
          <w:sz w:val="22"/>
          <w:szCs w:val="22"/>
        </w:rPr>
        <w:t>Cycle Calculations</w:t>
      </w:r>
      <w:r>
        <w:rPr>
          <w:rFonts w:ascii="Arial" w:hAnsi="Arial" w:cs="Arial"/>
          <w:b/>
          <w:bCs/>
          <w:color w:val="auto"/>
          <w:sz w:val="22"/>
          <w:szCs w:val="22"/>
        </w:rPr>
        <w:t xml:space="preserve"> (time-unlimited vs. time-limited)</w:t>
      </w:r>
      <w:r w:rsidRPr="00872EA2">
        <w:rPr>
          <w:rFonts w:ascii="Arial" w:hAnsi="Arial" w:cs="Arial"/>
          <w:b/>
          <w:bCs/>
          <w:color w:val="auto"/>
          <w:sz w:val="22"/>
          <w:szCs w:val="22"/>
        </w:rPr>
        <w:t>:</w:t>
      </w:r>
      <w:bookmarkEnd w:id="14"/>
    </w:p>
    <w:p w14:paraId="0C13F2AD" w14:textId="202099E9" w:rsidR="00492254" w:rsidRPr="001424C6" w:rsidRDefault="00492254" w:rsidP="00FC570C">
      <w:pPr>
        <w:pStyle w:val="ListParagraph"/>
        <w:numPr>
          <w:ilvl w:val="0"/>
          <w:numId w:val="18"/>
        </w:numPr>
      </w:pPr>
      <w:r>
        <w:t xml:space="preserve">For </w:t>
      </w:r>
      <w:r w:rsidR="001424C6">
        <w:t xml:space="preserve">time </w:t>
      </w:r>
      <w:r>
        <w:t>unlimited regimens:</w:t>
      </w:r>
    </w:p>
    <w:p w14:paraId="0A1E716F" w14:textId="6A4A431D" w:rsidR="00514708" w:rsidRPr="001424C6" w:rsidRDefault="00A348AE" w:rsidP="00FC570C">
      <w:pPr>
        <w:pStyle w:val="ListParagraph"/>
        <w:numPr>
          <w:ilvl w:val="1"/>
          <w:numId w:val="18"/>
        </w:numPr>
      </w:pPr>
      <w:r w:rsidRPr="00FB2B15">
        <w:t>Cycles</w:t>
      </w:r>
      <w:r w:rsidR="007F1F00" w:rsidRPr="00FB2B15">
        <w:t xml:space="preserve"> </w:t>
      </w:r>
      <w:r w:rsidR="002A0832" w:rsidRPr="00FB2B15">
        <w:t xml:space="preserve">are </w:t>
      </w:r>
      <w:r w:rsidRPr="00FB2B15">
        <w:t xml:space="preserve">calculated on a 52-week </w:t>
      </w:r>
      <w:r w:rsidR="004F4AD9">
        <w:t xml:space="preserve">year </w:t>
      </w:r>
    </w:p>
    <w:p w14:paraId="76CD2A98" w14:textId="33439480" w:rsidR="004F4AD9" w:rsidRPr="00C930A5" w:rsidRDefault="004F4AD9" w:rsidP="00FC570C">
      <w:pPr>
        <w:pStyle w:val="ListParagraph"/>
        <w:numPr>
          <w:ilvl w:val="2"/>
          <w:numId w:val="18"/>
        </w:numPr>
      </w:pPr>
      <w:r>
        <w:t>Determined by the number of days/weeks as indicated by administration instructions</w:t>
      </w:r>
    </w:p>
    <w:p w14:paraId="5C88B641" w14:textId="2E3A62CD" w:rsidR="00A348AE" w:rsidRPr="00C930A5" w:rsidRDefault="00A348AE" w:rsidP="00FC570C">
      <w:pPr>
        <w:pStyle w:val="ListParagraph"/>
        <w:numPr>
          <w:ilvl w:val="2"/>
          <w:numId w:val="18"/>
        </w:numPr>
      </w:pPr>
      <w:proofErr w:type="spellStart"/>
      <w:r w:rsidRPr="00FB2B15">
        <w:t>Ie</w:t>
      </w:r>
      <w:proofErr w:type="spellEnd"/>
      <w:r w:rsidR="00510805">
        <w:t>.,</w:t>
      </w:r>
      <w:r w:rsidRPr="00FB2B15">
        <w:t xml:space="preserve"> </w:t>
      </w:r>
      <w:r w:rsidR="004F4AD9">
        <w:t xml:space="preserve">If a drug is administered </w:t>
      </w:r>
      <w:r w:rsidRPr="00FB2B15">
        <w:t xml:space="preserve">1x every 28 </w:t>
      </w:r>
      <w:r w:rsidR="006014F0" w:rsidRPr="00FB2B15">
        <w:t>day</w:t>
      </w:r>
      <w:r w:rsidRPr="00FB2B15">
        <w:t xml:space="preserve">s </w:t>
      </w:r>
      <w:r w:rsidR="00492254">
        <w:t xml:space="preserve">until disease progression or unacceptable toxicity </w:t>
      </w:r>
      <w:r w:rsidR="004F4AD9">
        <w:t xml:space="preserve"> (i.e., once every 4 weeks), the calculation would be 52/4= 13. This equates to 13 total cycles over the course of 52 weeks </w:t>
      </w:r>
    </w:p>
    <w:p w14:paraId="0BC477A1" w14:textId="7E85801D" w:rsidR="007F1F00" w:rsidRPr="00FB2B15" w:rsidRDefault="007F1F00" w:rsidP="00FC570C">
      <w:pPr>
        <w:pStyle w:val="ListParagraph"/>
        <w:numPr>
          <w:ilvl w:val="1"/>
          <w:numId w:val="18"/>
        </w:numPr>
      </w:pPr>
      <w:r w:rsidRPr="00FB2B15">
        <w:t>Oral drugs are usually calculated on a daily basis depending on</w:t>
      </w:r>
      <w:r w:rsidR="002A0832" w:rsidRPr="00FB2B15">
        <w:t xml:space="preserve"> daily specifications from</w:t>
      </w:r>
      <w:r w:rsidRPr="00FB2B15">
        <w:t xml:space="preserve"> dosing guideline </w:t>
      </w:r>
    </w:p>
    <w:p w14:paraId="73B970C6" w14:textId="246B8A72" w:rsidR="007F1F00" w:rsidRPr="00FB2B15" w:rsidRDefault="001424C6" w:rsidP="00FC570C">
      <w:pPr>
        <w:pStyle w:val="ListParagraph"/>
        <w:numPr>
          <w:ilvl w:val="2"/>
          <w:numId w:val="18"/>
        </w:numPr>
      </w:pPr>
      <w:proofErr w:type="spellStart"/>
      <w:r>
        <w:t>Eg</w:t>
      </w:r>
      <w:r w:rsidR="007F1F00" w:rsidRPr="00FB2B15">
        <w:t>.</w:t>
      </w:r>
      <w:proofErr w:type="spellEnd"/>
      <w:r w:rsidR="007F1F00" w:rsidRPr="00FB2B15">
        <w:t>, once a day until disease progression = 365</w:t>
      </w:r>
      <w:r w:rsidR="00492254">
        <w:t xml:space="preserve"> </w:t>
      </w:r>
      <w:r>
        <w:t>doses per year</w:t>
      </w:r>
    </w:p>
    <w:p w14:paraId="7D899047" w14:textId="3C7B8345" w:rsidR="00492254" w:rsidRDefault="001424C6" w:rsidP="00FC570C">
      <w:pPr>
        <w:pStyle w:val="ListParagraph"/>
        <w:numPr>
          <w:ilvl w:val="2"/>
          <w:numId w:val="18"/>
        </w:numPr>
      </w:pPr>
      <w:proofErr w:type="spellStart"/>
      <w:r>
        <w:t>Eg.</w:t>
      </w:r>
      <w:proofErr w:type="spellEnd"/>
      <w:r>
        <w:t>, t</w:t>
      </w:r>
      <w:r w:rsidR="006014F0" w:rsidRPr="00FB2B15">
        <w:t>wice a day</w:t>
      </w:r>
      <w:r>
        <w:t>,</w:t>
      </w:r>
      <w:r w:rsidR="006014F0" w:rsidRPr="00FB2B15">
        <w:t xml:space="preserve"> e</w:t>
      </w:r>
      <w:r>
        <w:t>ach</w:t>
      </w:r>
      <w:r w:rsidR="006014F0" w:rsidRPr="00FB2B15">
        <w:t xml:space="preserve"> day </w:t>
      </w:r>
      <w:r>
        <w:t>of a 4-week cycle</w:t>
      </w:r>
      <w:r w:rsidR="006014F0" w:rsidRPr="00FB2B15">
        <w:t xml:space="preserve"> until disease progression = (2*28)*(52/4) = 728</w:t>
      </w:r>
      <w:r>
        <w:t xml:space="preserve"> doses per year </w:t>
      </w:r>
    </w:p>
    <w:p w14:paraId="67775FE2" w14:textId="2EC8EFEE" w:rsidR="00492254" w:rsidRDefault="00492254" w:rsidP="00FC570C">
      <w:pPr>
        <w:pStyle w:val="ListParagraph"/>
        <w:numPr>
          <w:ilvl w:val="0"/>
          <w:numId w:val="18"/>
        </w:numPr>
      </w:pPr>
      <w:r>
        <w:t>For</w:t>
      </w:r>
      <w:r w:rsidR="001424C6">
        <w:t xml:space="preserve"> time</w:t>
      </w:r>
      <w:r>
        <w:t xml:space="preserve"> limited regimens:</w:t>
      </w:r>
    </w:p>
    <w:p w14:paraId="14EDA8F2" w14:textId="39CDF76E" w:rsidR="00492254" w:rsidRDefault="00EA41C0" w:rsidP="00FC570C">
      <w:pPr>
        <w:pStyle w:val="ListParagraph"/>
        <w:numPr>
          <w:ilvl w:val="1"/>
          <w:numId w:val="18"/>
        </w:numPr>
      </w:pPr>
      <w:r>
        <w:t>The number of drug administrations are determined in accordance with the planned number of cycles</w:t>
      </w:r>
    </w:p>
    <w:p w14:paraId="52ACD497" w14:textId="57A8A56B" w:rsidR="00492254" w:rsidRDefault="00EA41C0" w:rsidP="00FC570C">
      <w:pPr>
        <w:pStyle w:val="ListParagraph"/>
        <w:numPr>
          <w:ilvl w:val="2"/>
          <w:numId w:val="18"/>
        </w:numPr>
      </w:pPr>
      <w:r>
        <w:t>Example:</w:t>
      </w:r>
      <w:r w:rsidR="00492254">
        <w:t xml:space="preserve"> </w:t>
      </w:r>
      <w:r>
        <w:t>a</w:t>
      </w:r>
      <w:r w:rsidR="004F4AD9">
        <w:t xml:space="preserve"> drug is administered </w:t>
      </w:r>
      <w:r>
        <w:t>on day 1 of a</w:t>
      </w:r>
      <w:r w:rsidR="00492254">
        <w:t xml:space="preserve"> 28 day</w:t>
      </w:r>
      <w:r>
        <w:t xml:space="preserve"> cycle,</w:t>
      </w:r>
      <w:r w:rsidR="00492254">
        <w:t xml:space="preserve"> for 10 cycles</w:t>
      </w:r>
    </w:p>
    <w:p w14:paraId="3A775AE6" w14:textId="684F2DAA" w:rsidR="00492254" w:rsidRDefault="00EA41C0" w:rsidP="00FC570C">
      <w:pPr>
        <w:pStyle w:val="ListParagraph"/>
        <w:numPr>
          <w:ilvl w:val="3"/>
          <w:numId w:val="18"/>
        </w:numPr>
      </w:pPr>
      <w:r>
        <w:t xml:space="preserve">The drug is assumed to be administered for </w:t>
      </w:r>
      <w:r w:rsidR="00492254">
        <w:t xml:space="preserve">10 </w:t>
      </w:r>
      <w:r w:rsidR="004F4AD9">
        <w:t>doses total</w:t>
      </w:r>
      <w:r w:rsidR="00492254">
        <w:t xml:space="preserve"> </w:t>
      </w:r>
    </w:p>
    <w:p w14:paraId="564C5983" w14:textId="77777777" w:rsidR="00872EA2" w:rsidRDefault="00872EA2" w:rsidP="00872EA2">
      <w:pPr>
        <w:pStyle w:val="NoSpacing"/>
        <w:rPr>
          <w:rFonts w:ascii="Arial" w:hAnsi="Arial" w:cs="Arial"/>
          <w:b/>
        </w:rPr>
      </w:pPr>
    </w:p>
    <w:p w14:paraId="6BBE9BD6" w14:textId="40C8114C" w:rsidR="00872EA2" w:rsidRPr="00FB2B15" w:rsidRDefault="00872EA2" w:rsidP="00872EA2">
      <w:pPr>
        <w:pStyle w:val="NoSpacing"/>
        <w:rPr>
          <w:rFonts w:ascii="Arial" w:hAnsi="Arial" w:cs="Arial"/>
          <w:b/>
        </w:rPr>
      </w:pPr>
      <w:r w:rsidRPr="00FB2B15">
        <w:rPr>
          <w:rFonts w:ascii="Arial" w:hAnsi="Arial" w:cs="Arial"/>
          <w:b/>
        </w:rPr>
        <w:t>Other notes:</w:t>
      </w:r>
    </w:p>
    <w:p w14:paraId="0A6D4CB8" w14:textId="27232D1E" w:rsidR="00872EA2" w:rsidRPr="00184FC7" w:rsidRDefault="00872EA2" w:rsidP="00872EA2">
      <w:pPr>
        <w:pStyle w:val="ListParagraph"/>
        <w:numPr>
          <w:ilvl w:val="0"/>
          <w:numId w:val="18"/>
        </w:numPr>
      </w:pPr>
      <w:proofErr w:type="spellStart"/>
      <w:r w:rsidRPr="00FB2B15">
        <w:t>Mesna</w:t>
      </w:r>
      <w:proofErr w:type="spellEnd"/>
      <w:r w:rsidRPr="00FB2B15">
        <w:t xml:space="preserve"> is </w:t>
      </w:r>
      <w:r>
        <w:t>assumed to always be given along with</w:t>
      </w:r>
      <w:r w:rsidRPr="00FB2B15">
        <w:t xml:space="preserve"> </w:t>
      </w:r>
      <w:proofErr w:type="spellStart"/>
      <w:r w:rsidRPr="00FB2B15">
        <w:t>ifosfamide</w:t>
      </w:r>
      <w:proofErr w:type="spellEnd"/>
      <w:r>
        <w:t xml:space="preserve">, even in cases where </w:t>
      </w:r>
      <w:proofErr w:type="spellStart"/>
      <w:r>
        <w:t>Mesna</w:t>
      </w:r>
      <w:proofErr w:type="spellEnd"/>
      <w:r>
        <w:t xml:space="preserve"> is not </w:t>
      </w:r>
      <w:r w:rsidR="00510805">
        <w:t xml:space="preserve">explicitly </w:t>
      </w:r>
      <w:r>
        <w:t xml:space="preserve">mentioned </w:t>
      </w:r>
      <w:r w:rsidR="00510805">
        <w:t>in</w:t>
      </w:r>
      <w:r>
        <w:t xml:space="preserve"> the NCCN Guidelines </w:t>
      </w:r>
    </w:p>
    <w:p w14:paraId="1E24D895" w14:textId="77777777" w:rsidR="00872EA2" w:rsidRPr="00FB2B15" w:rsidRDefault="00872EA2" w:rsidP="00872EA2">
      <w:pPr>
        <w:pStyle w:val="ListParagraph"/>
        <w:numPr>
          <w:ilvl w:val="0"/>
          <w:numId w:val="18"/>
        </w:numPr>
        <w:rPr>
          <w:rFonts w:eastAsia="Times New Roman"/>
          <w:color w:val="000000"/>
        </w:rPr>
      </w:pPr>
      <w:r w:rsidRPr="00FB2B15">
        <w:t xml:space="preserve">Dosages that are listed as given </w:t>
      </w:r>
      <w:r>
        <w:t>“</w:t>
      </w:r>
      <w:r w:rsidRPr="00FB2B15">
        <w:t>for up to</w:t>
      </w:r>
      <w:r>
        <w:t>”</w:t>
      </w:r>
      <w:r w:rsidRPr="00FB2B15">
        <w:t xml:space="preserve"> a year or longer will be marked as </w:t>
      </w:r>
      <w:r w:rsidRPr="00EA41C0">
        <w:rPr>
          <w:u w:val="single"/>
        </w:rPr>
        <w:t>time limited</w:t>
      </w:r>
      <w:r w:rsidRPr="00FB2B15">
        <w:t xml:space="preserve"> </w:t>
      </w:r>
      <w:r>
        <w:t xml:space="preserve">with a treatment duration of 1 year. </w:t>
      </w:r>
    </w:p>
    <w:p w14:paraId="06958647" w14:textId="77777777" w:rsidR="00872EA2" w:rsidRPr="00C930A5" w:rsidRDefault="00872EA2" w:rsidP="00872EA2">
      <w:pPr>
        <w:pStyle w:val="ListParagraph"/>
        <w:numPr>
          <w:ilvl w:val="0"/>
          <w:numId w:val="18"/>
        </w:numPr>
      </w:pPr>
      <w:r>
        <w:t>An exception to this is the immunotherapy drugs (</w:t>
      </w:r>
      <w:proofErr w:type="spellStart"/>
      <w:r>
        <w:t>eg.</w:t>
      </w:r>
      <w:proofErr w:type="spellEnd"/>
      <w:r>
        <w:t xml:space="preserve">, pembrolizumab) which for some indications have a specified treatment duration of “up to two years.” These regimens are coded as time unlimited (and prices are therefore presented as per month), to better reflect the reality that the large majority of patients will have progression and discontinue therapy prior to two years. </w:t>
      </w:r>
    </w:p>
    <w:p w14:paraId="6C547F74" w14:textId="0C4A9A67" w:rsidR="007C4AB5" w:rsidRPr="00FB2B15" w:rsidRDefault="007C4AB5" w:rsidP="0077098D">
      <w:pPr>
        <w:pStyle w:val="NoSpacing"/>
        <w:rPr>
          <w:rFonts w:ascii="Arial" w:hAnsi="Arial" w:cs="Arial"/>
        </w:rPr>
      </w:pPr>
    </w:p>
    <w:p w14:paraId="4A37A516" w14:textId="2B6620B9" w:rsidR="00A55995" w:rsidRDefault="00517321" w:rsidP="00693534">
      <w:pPr>
        <w:pStyle w:val="Heading1"/>
        <w:numPr>
          <w:ilvl w:val="0"/>
          <w:numId w:val="0"/>
        </w:numPr>
        <w:rPr>
          <w:rFonts w:ascii="Arial" w:hAnsi="Arial" w:cs="Arial"/>
          <w:color w:val="auto"/>
          <w:u w:val="single"/>
        </w:rPr>
      </w:pPr>
      <w:bookmarkStart w:id="15" w:name="_Toc194582582"/>
      <w:r w:rsidRPr="00693534">
        <w:rPr>
          <w:rFonts w:ascii="Arial" w:hAnsi="Arial" w:cs="Arial"/>
          <w:color w:val="auto"/>
          <w:u w:val="single"/>
        </w:rPr>
        <w:lastRenderedPageBreak/>
        <w:t>Supportive Care: E</w:t>
      </w:r>
      <w:r w:rsidR="00887FD8" w:rsidRPr="00693534">
        <w:rPr>
          <w:rFonts w:ascii="Arial" w:hAnsi="Arial" w:cs="Arial"/>
          <w:color w:val="auto"/>
          <w:u w:val="single"/>
        </w:rPr>
        <w:t xml:space="preserve">metic </w:t>
      </w:r>
      <w:r w:rsidR="002C3C2F" w:rsidRPr="00693534">
        <w:rPr>
          <w:rFonts w:ascii="Arial" w:hAnsi="Arial" w:cs="Arial"/>
          <w:color w:val="auto"/>
          <w:u w:val="single"/>
        </w:rPr>
        <w:t>R</w:t>
      </w:r>
      <w:r w:rsidR="00887FD8" w:rsidRPr="00693534">
        <w:rPr>
          <w:rFonts w:ascii="Arial" w:hAnsi="Arial" w:cs="Arial"/>
          <w:color w:val="auto"/>
          <w:u w:val="single"/>
        </w:rPr>
        <w:t>isk/</w:t>
      </w:r>
      <w:r w:rsidR="002C3C2F" w:rsidRPr="00693534">
        <w:rPr>
          <w:rFonts w:ascii="Arial" w:hAnsi="Arial" w:cs="Arial"/>
          <w:color w:val="auto"/>
          <w:u w:val="single"/>
        </w:rPr>
        <w:t>G</w:t>
      </w:r>
      <w:r w:rsidR="00887FD8" w:rsidRPr="00693534">
        <w:rPr>
          <w:rFonts w:ascii="Arial" w:hAnsi="Arial" w:cs="Arial"/>
          <w:color w:val="auto"/>
          <w:u w:val="single"/>
        </w:rPr>
        <w:t xml:space="preserve">rowth </w:t>
      </w:r>
      <w:r w:rsidR="002C3C2F" w:rsidRPr="00693534">
        <w:rPr>
          <w:rFonts w:ascii="Arial" w:hAnsi="Arial" w:cs="Arial"/>
          <w:color w:val="auto"/>
          <w:u w:val="single"/>
        </w:rPr>
        <w:t>F</w:t>
      </w:r>
      <w:r w:rsidR="00887FD8" w:rsidRPr="00693534">
        <w:rPr>
          <w:rFonts w:ascii="Arial" w:hAnsi="Arial" w:cs="Arial"/>
          <w:color w:val="auto"/>
          <w:u w:val="single"/>
        </w:rPr>
        <w:t>actor</w:t>
      </w:r>
      <w:bookmarkEnd w:id="15"/>
    </w:p>
    <w:p w14:paraId="62C06CFB" w14:textId="77777777" w:rsidR="00693534" w:rsidRPr="00693534" w:rsidRDefault="00693534" w:rsidP="00693534">
      <w:pPr>
        <w:numPr>
          <w:ilvl w:val="0"/>
          <w:numId w:val="0"/>
        </w:numPr>
      </w:pPr>
    </w:p>
    <w:p w14:paraId="784C2FBA" w14:textId="78BEFB9F" w:rsidR="00F57E3A" w:rsidRPr="00FB2B15" w:rsidRDefault="00B74F85" w:rsidP="00F57E3A">
      <w:pPr>
        <w:pStyle w:val="NoSpacing"/>
        <w:numPr>
          <w:ilvl w:val="0"/>
          <w:numId w:val="11"/>
        </w:numPr>
        <w:rPr>
          <w:rFonts w:ascii="Arial" w:hAnsi="Arial" w:cs="Arial"/>
        </w:rPr>
      </w:pPr>
      <w:bookmarkStart w:id="16" w:name="_Toc194582583"/>
      <w:r w:rsidRPr="00872EA2">
        <w:rPr>
          <w:rStyle w:val="Heading2Char"/>
          <w:rFonts w:ascii="Arial" w:hAnsi="Arial" w:cs="Arial"/>
          <w:color w:val="auto"/>
          <w:sz w:val="22"/>
          <w:szCs w:val="22"/>
        </w:rPr>
        <w:t xml:space="preserve">For </w:t>
      </w:r>
      <w:r w:rsidRPr="00872EA2">
        <w:rPr>
          <w:rStyle w:val="Heading2Char"/>
          <w:rFonts w:ascii="Arial" w:hAnsi="Arial" w:cs="Arial"/>
          <w:b/>
          <w:bCs/>
          <w:color w:val="auto"/>
          <w:sz w:val="22"/>
          <w:szCs w:val="22"/>
        </w:rPr>
        <w:t>antiemesis treatment</w:t>
      </w:r>
      <w:bookmarkEnd w:id="16"/>
      <w:r>
        <w:rPr>
          <w:rFonts w:ascii="Arial" w:hAnsi="Arial" w:cs="Arial"/>
        </w:rPr>
        <w:t xml:space="preserve">, </w:t>
      </w:r>
      <w:r w:rsidR="00992D6A" w:rsidRPr="00FB2B15">
        <w:rPr>
          <w:rFonts w:ascii="Arial" w:hAnsi="Arial" w:cs="Arial"/>
        </w:rPr>
        <w:t xml:space="preserve">Go to NCCN Guidelines for Supportive Care </w:t>
      </w:r>
      <w:r w:rsidR="00682DDC">
        <w:rPr>
          <w:rFonts w:ascii="Arial" w:hAnsi="Arial" w:cs="Arial"/>
        </w:rPr>
        <w:t>--</w:t>
      </w:r>
      <w:r w:rsidR="00992D6A" w:rsidRPr="00FB2B15">
        <w:rPr>
          <w:rFonts w:ascii="Arial" w:hAnsi="Arial" w:cs="Arial"/>
        </w:rPr>
        <w:t>&gt; Antiemesis</w:t>
      </w:r>
    </w:p>
    <w:p w14:paraId="51C1C949" w14:textId="018ACAAF" w:rsidR="00370371" w:rsidRPr="00FB2B15" w:rsidRDefault="00184FC7" w:rsidP="00370371">
      <w:pPr>
        <w:pStyle w:val="NoSpacing"/>
        <w:numPr>
          <w:ilvl w:val="1"/>
          <w:numId w:val="11"/>
        </w:numPr>
        <w:rPr>
          <w:rFonts w:ascii="Arial" w:hAnsi="Arial" w:cs="Arial"/>
        </w:rPr>
      </w:pPr>
      <w:r>
        <w:rPr>
          <w:rFonts w:ascii="Arial" w:hAnsi="Arial" w:cs="Arial"/>
        </w:rPr>
        <w:t>Emesis risk r</w:t>
      </w:r>
      <w:r w:rsidR="00370371" w:rsidRPr="00FB2B15">
        <w:rPr>
          <w:rFonts w:ascii="Arial" w:hAnsi="Arial" w:cs="Arial"/>
        </w:rPr>
        <w:t>atings</w:t>
      </w:r>
      <w:r>
        <w:rPr>
          <w:rFonts w:ascii="Arial" w:hAnsi="Arial" w:cs="Arial"/>
        </w:rPr>
        <w:t xml:space="preserve"> (in accordance with NCCN Guidelines)</w:t>
      </w:r>
    </w:p>
    <w:p w14:paraId="7D719A2E" w14:textId="5B99A448" w:rsidR="00370371" w:rsidRPr="00FB2B15" w:rsidRDefault="00370371" w:rsidP="00370371">
      <w:pPr>
        <w:pStyle w:val="NoSpacing"/>
        <w:numPr>
          <w:ilvl w:val="2"/>
          <w:numId w:val="11"/>
        </w:numPr>
        <w:rPr>
          <w:rFonts w:ascii="Arial" w:hAnsi="Arial" w:cs="Arial"/>
        </w:rPr>
      </w:pPr>
      <w:r w:rsidRPr="00FB2B15">
        <w:rPr>
          <w:rFonts w:ascii="Arial" w:hAnsi="Arial" w:cs="Arial"/>
        </w:rPr>
        <w:t>0 = minimal (no administration associated with this rating)</w:t>
      </w:r>
      <w:r w:rsidR="00B117C9" w:rsidRPr="00FB2B15">
        <w:rPr>
          <w:rFonts w:ascii="Arial" w:hAnsi="Arial" w:cs="Arial"/>
        </w:rPr>
        <w:t xml:space="preserve"> | &lt;10% frequency of emesis</w:t>
      </w:r>
    </w:p>
    <w:p w14:paraId="31D73F3D" w14:textId="39965C14" w:rsidR="00370371" w:rsidRPr="00FB2B15" w:rsidRDefault="00370371" w:rsidP="00370371">
      <w:pPr>
        <w:pStyle w:val="NoSpacing"/>
        <w:numPr>
          <w:ilvl w:val="2"/>
          <w:numId w:val="11"/>
        </w:numPr>
        <w:rPr>
          <w:rFonts w:ascii="Arial" w:hAnsi="Arial" w:cs="Arial"/>
        </w:rPr>
      </w:pPr>
      <w:r w:rsidRPr="00FB2B15">
        <w:rPr>
          <w:rFonts w:ascii="Arial" w:hAnsi="Arial" w:cs="Arial"/>
        </w:rPr>
        <w:t>1 = low</w:t>
      </w:r>
      <w:r w:rsidR="00B117C9" w:rsidRPr="00FB2B15">
        <w:rPr>
          <w:rFonts w:ascii="Arial" w:hAnsi="Arial" w:cs="Arial"/>
        </w:rPr>
        <w:t xml:space="preserve"> | 10%-30% frequency of emesis</w:t>
      </w:r>
    </w:p>
    <w:p w14:paraId="3AE1DBC4" w14:textId="2A660ED8" w:rsidR="00370371" w:rsidRPr="00FB2B15" w:rsidRDefault="00370371" w:rsidP="00370371">
      <w:pPr>
        <w:pStyle w:val="NoSpacing"/>
        <w:numPr>
          <w:ilvl w:val="2"/>
          <w:numId w:val="11"/>
        </w:numPr>
        <w:rPr>
          <w:rFonts w:ascii="Arial" w:hAnsi="Arial" w:cs="Arial"/>
        </w:rPr>
      </w:pPr>
      <w:r w:rsidRPr="00FB2B15">
        <w:rPr>
          <w:rFonts w:ascii="Arial" w:hAnsi="Arial" w:cs="Arial"/>
        </w:rPr>
        <w:t>2 = moderate</w:t>
      </w:r>
      <w:r w:rsidR="00B117C9" w:rsidRPr="00FB2B15">
        <w:rPr>
          <w:rFonts w:ascii="Arial" w:hAnsi="Arial" w:cs="Arial"/>
        </w:rPr>
        <w:t xml:space="preserve"> | 30%-90% frequency of emesis</w:t>
      </w:r>
    </w:p>
    <w:p w14:paraId="2AC7D7FB" w14:textId="7B728BFA" w:rsidR="00370371" w:rsidRDefault="00370371" w:rsidP="00370371">
      <w:pPr>
        <w:pStyle w:val="NoSpacing"/>
        <w:numPr>
          <w:ilvl w:val="2"/>
          <w:numId w:val="11"/>
        </w:numPr>
        <w:rPr>
          <w:rFonts w:ascii="Arial" w:hAnsi="Arial" w:cs="Arial"/>
        </w:rPr>
      </w:pPr>
      <w:r w:rsidRPr="00FB2B15">
        <w:rPr>
          <w:rFonts w:ascii="Arial" w:hAnsi="Arial" w:cs="Arial"/>
        </w:rPr>
        <w:t>3 = high</w:t>
      </w:r>
      <w:r w:rsidR="00B117C9" w:rsidRPr="00FB2B15">
        <w:rPr>
          <w:rFonts w:ascii="Arial" w:hAnsi="Arial" w:cs="Arial"/>
        </w:rPr>
        <w:t xml:space="preserve"> | &gt;90% frequency of emesis</w:t>
      </w:r>
    </w:p>
    <w:p w14:paraId="74DBAC22" w14:textId="120AD793" w:rsidR="00184FC7" w:rsidRPr="00FB2B15" w:rsidRDefault="00184FC7" w:rsidP="00184FC7">
      <w:pPr>
        <w:pStyle w:val="NoSpacing"/>
        <w:numPr>
          <w:ilvl w:val="1"/>
          <w:numId w:val="11"/>
        </w:numPr>
        <w:rPr>
          <w:rFonts w:ascii="Arial" w:hAnsi="Arial" w:cs="Arial"/>
        </w:rPr>
      </w:pPr>
      <w:r>
        <w:rPr>
          <w:rFonts w:ascii="Arial" w:hAnsi="Arial" w:cs="Arial"/>
        </w:rPr>
        <w:t xml:space="preserve">For each treatment regimen, we first identify the specific agent with the highest emetic risk. </w:t>
      </w:r>
    </w:p>
    <w:p w14:paraId="6D9FD9CE" w14:textId="21ADA879" w:rsidR="00184FC7" w:rsidRPr="00184FC7" w:rsidRDefault="00184FC7" w:rsidP="00184FC7">
      <w:pPr>
        <w:pStyle w:val="NoSpacing"/>
        <w:numPr>
          <w:ilvl w:val="2"/>
          <w:numId w:val="11"/>
        </w:numPr>
        <w:rPr>
          <w:rFonts w:ascii="Arial" w:hAnsi="Arial" w:cs="Arial"/>
        </w:rPr>
      </w:pPr>
      <w:r w:rsidRPr="00FB2B15">
        <w:rPr>
          <w:rFonts w:ascii="Arial" w:hAnsi="Arial" w:cs="Arial"/>
        </w:rPr>
        <w:t xml:space="preserve">Ex) three drugs in regimen, two with low risk and one with moderate -&gt; </w:t>
      </w:r>
      <w:r>
        <w:rPr>
          <w:rFonts w:ascii="Arial" w:hAnsi="Arial" w:cs="Arial"/>
        </w:rPr>
        <w:t xml:space="preserve">the moderate-risk drug would be used to </w:t>
      </w:r>
      <w:r w:rsidR="00EB3862">
        <w:rPr>
          <w:rFonts w:ascii="Arial" w:hAnsi="Arial" w:cs="Arial"/>
        </w:rPr>
        <w:t>determine the antiemesis dosing for that regimen</w:t>
      </w:r>
      <w:r w:rsidRPr="00FB2B15">
        <w:rPr>
          <w:rFonts w:ascii="Arial" w:hAnsi="Arial" w:cs="Arial"/>
        </w:rPr>
        <w:t xml:space="preserve"> </w:t>
      </w:r>
    </w:p>
    <w:p w14:paraId="470F3D7E" w14:textId="23B7C1BC" w:rsidR="00EB3862" w:rsidRDefault="00EB3862" w:rsidP="002C4245">
      <w:pPr>
        <w:pStyle w:val="NoSpacing"/>
        <w:numPr>
          <w:ilvl w:val="1"/>
          <w:numId w:val="11"/>
        </w:numPr>
        <w:rPr>
          <w:rFonts w:ascii="Arial" w:hAnsi="Arial" w:cs="Arial"/>
        </w:rPr>
      </w:pPr>
      <w:r>
        <w:rPr>
          <w:rFonts w:ascii="Arial" w:hAnsi="Arial" w:cs="Arial"/>
        </w:rPr>
        <w:t>Emetic risk is a function of both the drug and the drug dose</w:t>
      </w:r>
    </w:p>
    <w:p w14:paraId="28E6C937" w14:textId="5EE6BC22" w:rsidR="00EB3862" w:rsidRDefault="00EB3862" w:rsidP="002C4245">
      <w:pPr>
        <w:pStyle w:val="NoSpacing"/>
        <w:numPr>
          <w:ilvl w:val="1"/>
          <w:numId w:val="11"/>
        </w:numPr>
        <w:rPr>
          <w:rFonts w:ascii="Arial" w:hAnsi="Arial" w:cs="Arial"/>
        </w:rPr>
      </w:pPr>
      <w:r>
        <w:rPr>
          <w:rFonts w:ascii="Arial" w:hAnsi="Arial" w:cs="Arial"/>
        </w:rPr>
        <w:t xml:space="preserve">In cases where a specific drug’s (or treatment </w:t>
      </w:r>
      <w:proofErr w:type="spellStart"/>
      <w:r>
        <w:rPr>
          <w:rFonts w:ascii="Arial" w:hAnsi="Arial" w:cs="Arial"/>
        </w:rPr>
        <w:t>regimen’s</w:t>
      </w:r>
      <w:proofErr w:type="spellEnd"/>
      <w:r>
        <w:rPr>
          <w:rFonts w:ascii="Arial" w:hAnsi="Arial" w:cs="Arial"/>
        </w:rPr>
        <w:t xml:space="preserve">) emetic risk was not specified by NCCN Guidelines, we extrapolated from other treatment regimens (extrapolations across cancer type, </w:t>
      </w:r>
      <w:proofErr w:type="spellStart"/>
      <w:r>
        <w:rPr>
          <w:rFonts w:ascii="Arial" w:hAnsi="Arial" w:cs="Arial"/>
        </w:rPr>
        <w:t>eg.</w:t>
      </w:r>
      <w:proofErr w:type="spellEnd"/>
      <w:r>
        <w:rPr>
          <w:rFonts w:ascii="Arial" w:hAnsi="Arial" w:cs="Arial"/>
        </w:rPr>
        <w:t xml:space="preserve"> From breast to lung, were allowed) with the assumption that a drug would always confer an emetic risk at least as high as it did elsewhere, when given at a higher dose or in combination. </w:t>
      </w:r>
    </w:p>
    <w:p w14:paraId="61F05CED" w14:textId="4FEE4525" w:rsidR="00EB3862" w:rsidRDefault="00EB3862" w:rsidP="00EB3862">
      <w:pPr>
        <w:pStyle w:val="NoSpacing"/>
        <w:numPr>
          <w:ilvl w:val="2"/>
          <w:numId w:val="11"/>
        </w:numPr>
        <w:rPr>
          <w:rFonts w:ascii="Arial" w:hAnsi="Arial" w:cs="Arial"/>
        </w:rPr>
      </w:pPr>
      <w:proofErr w:type="spellStart"/>
      <w:r>
        <w:rPr>
          <w:rFonts w:ascii="Arial" w:hAnsi="Arial" w:cs="Arial"/>
        </w:rPr>
        <w:t>Eg.</w:t>
      </w:r>
      <w:proofErr w:type="spellEnd"/>
      <w:r>
        <w:rPr>
          <w:rFonts w:ascii="Arial" w:hAnsi="Arial" w:cs="Arial"/>
        </w:rPr>
        <w:t xml:space="preserve">, If 15mg of drug X had emetic risk </w:t>
      </w:r>
      <w:r w:rsidR="00682DDC">
        <w:rPr>
          <w:rFonts w:ascii="Arial" w:hAnsi="Arial" w:cs="Arial"/>
        </w:rPr>
        <w:t xml:space="preserve">that was not specified in NCCN Guidelines, </w:t>
      </w:r>
      <w:r>
        <w:rPr>
          <w:rFonts w:ascii="Arial" w:hAnsi="Arial" w:cs="Arial"/>
        </w:rPr>
        <w:t>but 10mg of drug X had emetic risk =</w:t>
      </w:r>
      <w:r w:rsidR="00682DDC">
        <w:rPr>
          <w:rFonts w:ascii="Arial" w:hAnsi="Arial" w:cs="Arial"/>
        </w:rPr>
        <w:t xml:space="preserve"> 2, we assumed 15mg would also have emetic risk of 2. </w:t>
      </w:r>
    </w:p>
    <w:p w14:paraId="5932B7ED" w14:textId="7A77236C" w:rsidR="00682DDC" w:rsidRDefault="00682DDC" w:rsidP="00EB3862">
      <w:pPr>
        <w:pStyle w:val="NoSpacing"/>
        <w:numPr>
          <w:ilvl w:val="2"/>
          <w:numId w:val="11"/>
        </w:numPr>
        <w:rPr>
          <w:rFonts w:ascii="Arial" w:hAnsi="Arial" w:cs="Arial"/>
        </w:rPr>
      </w:pPr>
      <w:proofErr w:type="spellStart"/>
      <w:r>
        <w:rPr>
          <w:rFonts w:ascii="Arial" w:hAnsi="Arial" w:cs="Arial"/>
        </w:rPr>
        <w:t>Eg.</w:t>
      </w:r>
      <w:proofErr w:type="spellEnd"/>
      <w:r>
        <w:rPr>
          <w:rFonts w:ascii="Arial" w:hAnsi="Arial" w:cs="Arial"/>
        </w:rPr>
        <w:t xml:space="preserve">, If drug X monotherapy had emetic risk of 1 and drug Y monotherapy had emetic risk of 2, and a treatment regimen of X + Y had emetic risk that was not specified in NCCN Guidelines, we assumed the regimen of X + Y would have emetic risk of 2. </w:t>
      </w:r>
    </w:p>
    <w:p w14:paraId="502AF330" w14:textId="7484E746" w:rsidR="002C4245" w:rsidRDefault="002C4245" w:rsidP="002C4245">
      <w:pPr>
        <w:pStyle w:val="NoSpacing"/>
        <w:numPr>
          <w:ilvl w:val="1"/>
          <w:numId w:val="11"/>
        </w:numPr>
        <w:rPr>
          <w:rFonts w:ascii="Arial" w:hAnsi="Arial" w:cs="Arial"/>
        </w:rPr>
      </w:pPr>
      <w:r w:rsidRPr="00FB2B15">
        <w:rPr>
          <w:rFonts w:ascii="Arial" w:hAnsi="Arial" w:cs="Arial"/>
        </w:rPr>
        <w:t xml:space="preserve">Antiemetic treatment </w:t>
      </w:r>
      <w:r w:rsidR="00EB3862">
        <w:rPr>
          <w:rFonts w:ascii="Arial" w:hAnsi="Arial" w:cs="Arial"/>
        </w:rPr>
        <w:t>is assumed to</w:t>
      </w:r>
      <w:r w:rsidRPr="00FB2B15">
        <w:rPr>
          <w:rFonts w:ascii="Arial" w:hAnsi="Arial" w:cs="Arial"/>
        </w:rPr>
        <w:t xml:space="preserve"> be provided at the time of </w:t>
      </w:r>
      <w:r w:rsidRPr="00FB2B15">
        <w:rPr>
          <w:rFonts w:ascii="Arial" w:hAnsi="Arial" w:cs="Arial"/>
          <w:b/>
        </w:rPr>
        <w:t>each administration</w:t>
      </w:r>
      <w:r w:rsidRPr="00FB2B15">
        <w:rPr>
          <w:rFonts w:ascii="Arial" w:hAnsi="Arial" w:cs="Arial"/>
        </w:rPr>
        <w:t xml:space="preserve"> of that </w:t>
      </w:r>
      <w:r w:rsidR="00EB3862">
        <w:rPr>
          <w:rFonts w:ascii="Arial" w:hAnsi="Arial" w:cs="Arial"/>
        </w:rPr>
        <w:t xml:space="preserve">highest-risk </w:t>
      </w:r>
      <w:r w:rsidRPr="00FB2B15">
        <w:rPr>
          <w:rFonts w:ascii="Arial" w:hAnsi="Arial" w:cs="Arial"/>
        </w:rPr>
        <w:t>agent</w:t>
      </w:r>
      <w:r w:rsidR="00303D30">
        <w:rPr>
          <w:rFonts w:ascii="Arial" w:hAnsi="Arial" w:cs="Arial"/>
        </w:rPr>
        <w:t>.</w:t>
      </w:r>
    </w:p>
    <w:p w14:paraId="1223C604" w14:textId="64F241B1" w:rsidR="00303D30" w:rsidRPr="00FB2B15" w:rsidRDefault="00303D30" w:rsidP="00303D30">
      <w:pPr>
        <w:pStyle w:val="NoSpacing"/>
        <w:numPr>
          <w:ilvl w:val="2"/>
          <w:numId w:val="11"/>
        </w:numPr>
        <w:rPr>
          <w:rFonts w:ascii="Arial" w:hAnsi="Arial" w:cs="Arial"/>
        </w:rPr>
      </w:pPr>
      <w:proofErr w:type="spellStart"/>
      <w:r>
        <w:rPr>
          <w:rFonts w:ascii="Arial" w:hAnsi="Arial" w:cs="Arial"/>
        </w:rPr>
        <w:t>Eg.</w:t>
      </w:r>
      <w:proofErr w:type="spellEnd"/>
      <w:r>
        <w:rPr>
          <w:rFonts w:ascii="Arial" w:hAnsi="Arial" w:cs="Arial"/>
        </w:rPr>
        <w:t xml:space="preserve">, of the highest risk drug is given 3 times per cycle, then we assume three administrations of antiemetic drugs per cycle. </w:t>
      </w:r>
    </w:p>
    <w:p w14:paraId="0FEB8239" w14:textId="6312E07F" w:rsidR="002C4245" w:rsidRPr="00FB2B15" w:rsidRDefault="00EB3862" w:rsidP="002C4245">
      <w:pPr>
        <w:pStyle w:val="NoSpacing"/>
        <w:numPr>
          <w:ilvl w:val="1"/>
          <w:numId w:val="11"/>
        </w:numPr>
        <w:rPr>
          <w:rFonts w:ascii="Arial" w:hAnsi="Arial" w:cs="Arial"/>
        </w:rPr>
      </w:pPr>
      <w:r>
        <w:rPr>
          <w:rFonts w:ascii="Arial" w:hAnsi="Arial" w:cs="Arial"/>
        </w:rPr>
        <w:t>We i</w:t>
      </w:r>
      <w:r w:rsidR="002C4245" w:rsidRPr="00FB2B15">
        <w:rPr>
          <w:rFonts w:ascii="Arial" w:hAnsi="Arial" w:cs="Arial"/>
        </w:rPr>
        <w:t>nclude antiemetic agents that are given routinely in the 2-3 days surrounding treatment for acute and delayed emesis prevention</w:t>
      </w:r>
      <w:r>
        <w:rPr>
          <w:rFonts w:ascii="Arial" w:hAnsi="Arial" w:cs="Arial"/>
        </w:rPr>
        <w:t>,</w:t>
      </w:r>
      <w:r w:rsidR="002C4245" w:rsidRPr="00FB2B15">
        <w:rPr>
          <w:rFonts w:ascii="Arial" w:hAnsi="Arial" w:cs="Arial"/>
        </w:rPr>
        <w:t xml:space="preserve"> but </w:t>
      </w:r>
      <w:r>
        <w:rPr>
          <w:rFonts w:ascii="Arial" w:hAnsi="Arial" w:cs="Arial"/>
        </w:rPr>
        <w:t xml:space="preserve">do </w:t>
      </w:r>
      <w:r w:rsidR="002C4245" w:rsidRPr="00FB2B15">
        <w:rPr>
          <w:rFonts w:ascii="Arial" w:hAnsi="Arial" w:cs="Arial"/>
        </w:rPr>
        <w:t xml:space="preserve">not </w:t>
      </w:r>
      <w:r>
        <w:rPr>
          <w:rFonts w:ascii="Arial" w:hAnsi="Arial" w:cs="Arial"/>
        </w:rPr>
        <w:t>include agents recommended to be prescribed for as-needed use (</w:t>
      </w:r>
      <w:proofErr w:type="spellStart"/>
      <w:r>
        <w:rPr>
          <w:rFonts w:ascii="Arial" w:hAnsi="Arial" w:cs="Arial"/>
        </w:rPr>
        <w:t>eg.</w:t>
      </w:r>
      <w:proofErr w:type="spellEnd"/>
      <w:r>
        <w:rPr>
          <w:rFonts w:ascii="Arial" w:hAnsi="Arial" w:cs="Arial"/>
        </w:rPr>
        <w:t xml:space="preserve">, </w:t>
      </w:r>
      <w:r w:rsidR="002C4245" w:rsidRPr="00FB2B15">
        <w:rPr>
          <w:rFonts w:ascii="Arial" w:hAnsi="Arial" w:cs="Arial"/>
        </w:rPr>
        <w:t xml:space="preserve">oral </w:t>
      </w:r>
      <w:r>
        <w:rPr>
          <w:rFonts w:ascii="Arial" w:hAnsi="Arial" w:cs="Arial"/>
        </w:rPr>
        <w:t xml:space="preserve">ondansetron to be </w:t>
      </w:r>
      <w:r w:rsidR="002C4245" w:rsidRPr="00FB2B15">
        <w:rPr>
          <w:rFonts w:ascii="Arial" w:hAnsi="Arial" w:cs="Arial"/>
        </w:rPr>
        <w:t>taken at home</w:t>
      </w:r>
      <w:r>
        <w:rPr>
          <w:rFonts w:ascii="Arial" w:hAnsi="Arial" w:cs="Arial"/>
        </w:rPr>
        <w:t>)</w:t>
      </w:r>
    </w:p>
    <w:p w14:paraId="6A6880DE" w14:textId="3F10CB51" w:rsidR="009859EF" w:rsidRPr="00FB2B15" w:rsidRDefault="009859EF" w:rsidP="009859EF">
      <w:pPr>
        <w:pStyle w:val="NoSpacing"/>
        <w:numPr>
          <w:ilvl w:val="1"/>
          <w:numId w:val="11"/>
        </w:numPr>
        <w:rPr>
          <w:rFonts w:ascii="Arial" w:hAnsi="Arial" w:cs="Arial"/>
        </w:rPr>
      </w:pPr>
      <w:r w:rsidRPr="00FB2B15">
        <w:rPr>
          <w:rFonts w:ascii="Arial" w:hAnsi="Arial" w:cs="Arial"/>
        </w:rPr>
        <w:t>Note: Assign growth factor of 1 to paclitaxel regimens if it is administered every 21 days (or more frequently) and at a dose close to or greater than the dose for breast cancer</w:t>
      </w:r>
    </w:p>
    <w:p w14:paraId="051A5EAE" w14:textId="14EC1D7A" w:rsidR="00370371" w:rsidRPr="00FB2B15" w:rsidRDefault="00682DDC" w:rsidP="00CF6FE6">
      <w:pPr>
        <w:pStyle w:val="NoSpacing"/>
        <w:numPr>
          <w:ilvl w:val="0"/>
          <w:numId w:val="11"/>
        </w:numPr>
        <w:rPr>
          <w:rFonts w:ascii="Arial" w:hAnsi="Arial" w:cs="Arial"/>
        </w:rPr>
      </w:pPr>
      <w:bookmarkStart w:id="17" w:name="_Toc194582584"/>
      <w:r w:rsidRPr="00872EA2">
        <w:rPr>
          <w:rStyle w:val="Heading2Char"/>
          <w:rFonts w:ascii="Arial" w:hAnsi="Arial" w:cs="Arial"/>
          <w:color w:val="auto"/>
          <w:sz w:val="22"/>
          <w:szCs w:val="22"/>
        </w:rPr>
        <w:t xml:space="preserve">For </w:t>
      </w:r>
      <w:r w:rsidRPr="00872EA2">
        <w:rPr>
          <w:rStyle w:val="Heading2Char"/>
          <w:rFonts w:ascii="Arial" w:hAnsi="Arial" w:cs="Arial"/>
          <w:b/>
          <w:bCs/>
          <w:color w:val="auto"/>
          <w:sz w:val="22"/>
          <w:szCs w:val="22"/>
        </w:rPr>
        <w:t>growth factor support</w:t>
      </w:r>
      <w:bookmarkEnd w:id="17"/>
      <w:r>
        <w:rPr>
          <w:rFonts w:ascii="Arial" w:hAnsi="Arial" w:cs="Arial"/>
        </w:rPr>
        <w:t>, refer to</w:t>
      </w:r>
      <w:r w:rsidR="008F7FA8" w:rsidRPr="00FB2B15">
        <w:rPr>
          <w:rFonts w:ascii="Arial" w:hAnsi="Arial" w:cs="Arial"/>
        </w:rPr>
        <w:t xml:space="preserve"> </w:t>
      </w:r>
      <w:r w:rsidR="0001393A" w:rsidRPr="00FB2B15">
        <w:rPr>
          <w:rFonts w:ascii="Arial" w:hAnsi="Arial" w:cs="Arial"/>
        </w:rPr>
        <w:t xml:space="preserve">NCCN Guidelines for Supportive Care </w:t>
      </w:r>
      <w:r>
        <w:rPr>
          <w:rFonts w:ascii="Arial" w:hAnsi="Arial" w:cs="Arial"/>
        </w:rPr>
        <w:t>--</w:t>
      </w:r>
      <w:r w:rsidR="0001393A" w:rsidRPr="00FB2B15">
        <w:rPr>
          <w:rFonts w:ascii="Arial" w:hAnsi="Arial" w:cs="Arial"/>
        </w:rPr>
        <w:t xml:space="preserve">&gt; Hematopoietic Growth Factors  </w:t>
      </w:r>
    </w:p>
    <w:p w14:paraId="6A858BAB" w14:textId="398B08FE" w:rsidR="00370371" w:rsidRPr="00FB2B15" w:rsidRDefault="00B74F85" w:rsidP="00CF6FE6">
      <w:pPr>
        <w:pStyle w:val="NoSpacing"/>
        <w:numPr>
          <w:ilvl w:val="0"/>
          <w:numId w:val="11"/>
        </w:numPr>
        <w:rPr>
          <w:rFonts w:ascii="Arial" w:hAnsi="Arial" w:cs="Arial"/>
        </w:rPr>
      </w:pPr>
      <w:r>
        <w:rPr>
          <w:rFonts w:ascii="Arial" w:hAnsi="Arial" w:cs="Arial"/>
        </w:rPr>
        <w:t>Neutropenic fever risk levels</w:t>
      </w:r>
      <w:r w:rsidR="00370371" w:rsidRPr="00FB2B15">
        <w:rPr>
          <w:rFonts w:ascii="Arial" w:hAnsi="Arial" w:cs="Arial"/>
        </w:rPr>
        <w:t xml:space="preserve"> </w:t>
      </w:r>
    </w:p>
    <w:p w14:paraId="63BEA837" w14:textId="7E53F35E" w:rsidR="00370371" w:rsidRPr="00FB2B15" w:rsidRDefault="00370371" w:rsidP="00370371">
      <w:pPr>
        <w:pStyle w:val="NoSpacing"/>
        <w:numPr>
          <w:ilvl w:val="1"/>
          <w:numId w:val="11"/>
        </w:numPr>
        <w:rPr>
          <w:rFonts w:ascii="Arial" w:hAnsi="Arial" w:cs="Arial"/>
        </w:rPr>
      </w:pPr>
      <w:r w:rsidRPr="00FB2B15">
        <w:rPr>
          <w:rFonts w:ascii="Arial" w:hAnsi="Arial" w:cs="Arial"/>
        </w:rPr>
        <w:t>0 = low</w:t>
      </w:r>
      <w:r w:rsidR="00682DDC" w:rsidRPr="00FB2B15">
        <w:rPr>
          <w:rFonts w:ascii="Arial" w:hAnsi="Arial" w:cs="Arial"/>
        </w:rPr>
        <w:t xml:space="preserve"> | </w:t>
      </w:r>
      <w:r w:rsidR="00682DDC">
        <w:rPr>
          <w:rFonts w:ascii="Arial" w:hAnsi="Arial" w:cs="Arial"/>
        </w:rPr>
        <w:t>&lt;</w:t>
      </w:r>
      <w:r w:rsidR="00682DDC" w:rsidRPr="00FB2B15">
        <w:rPr>
          <w:rFonts w:ascii="Arial" w:hAnsi="Arial" w:cs="Arial"/>
        </w:rPr>
        <w:t>10% febrile neutropenia risk</w:t>
      </w:r>
    </w:p>
    <w:p w14:paraId="1B471939" w14:textId="509406F8" w:rsidR="00370371" w:rsidRPr="00FB2B15" w:rsidRDefault="00370371" w:rsidP="00370371">
      <w:pPr>
        <w:pStyle w:val="NoSpacing"/>
        <w:numPr>
          <w:ilvl w:val="1"/>
          <w:numId w:val="11"/>
        </w:numPr>
        <w:rPr>
          <w:rFonts w:ascii="Arial" w:hAnsi="Arial" w:cs="Arial"/>
        </w:rPr>
      </w:pPr>
      <w:r w:rsidRPr="00FB2B15">
        <w:rPr>
          <w:rFonts w:ascii="Arial" w:hAnsi="Arial" w:cs="Arial"/>
        </w:rPr>
        <w:t>1 = intermediate</w:t>
      </w:r>
      <w:r w:rsidR="00B117C9" w:rsidRPr="00FB2B15">
        <w:rPr>
          <w:rFonts w:ascii="Arial" w:hAnsi="Arial" w:cs="Arial"/>
        </w:rPr>
        <w:t xml:space="preserve"> | 10%-20%</w:t>
      </w:r>
      <w:r w:rsidR="001A11D9" w:rsidRPr="00FB2B15">
        <w:rPr>
          <w:rFonts w:ascii="Arial" w:hAnsi="Arial" w:cs="Arial"/>
        </w:rPr>
        <w:t xml:space="preserve"> febrile neutropenia risk</w:t>
      </w:r>
    </w:p>
    <w:p w14:paraId="33D479DD" w14:textId="66637219" w:rsidR="00DD7B55" w:rsidRPr="00FB2B15" w:rsidRDefault="00370371" w:rsidP="00682DDC">
      <w:pPr>
        <w:pStyle w:val="NoSpacing"/>
        <w:numPr>
          <w:ilvl w:val="1"/>
          <w:numId w:val="11"/>
        </w:numPr>
        <w:rPr>
          <w:rFonts w:ascii="Arial" w:hAnsi="Arial" w:cs="Arial"/>
        </w:rPr>
      </w:pPr>
      <w:r w:rsidRPr="00FB2B15">
        <w:rPr>
          <w:rFonts w:ascii="Arial" w:hAnsi="Arial" w:cs="Arial"/>
        </w:rPr>
        <w:t>2 = high</w:t>
      </w:r>
      <w:r w:rsidR="0001393A" w:rsidRPr="00FB2B15">
        <w:rPr>
          <w:rFonts w:ascii="Arial" w:hAnsi="Arial" w:cs="Arial"/>
        </w:rPr>
        <w:t xml:space="preserve"> </w:t>
      </w:r>
      <w:r w:rsidR="001A11D9" w:rsidRPr="00FB2B15">
        <w:rPr>
          <w:rFonts w:ascii="Arial" w:hAnsi="Arial" w:cs="Arial"/>
        </w:rPr>
        <w:t>| &gt;20% febrile neutropenia risk</w:t>
      </w:r>
    </w:p>
    <w:p w14:paraId="5488C0EC" w14:textId="7A51D79B" w:rsidR="00B74F85" w:rsidRDefault="00B74F85" w:rsidP="00682DDC">
      <w:pPr>
        <w:pStyle w:val="NoSpacing"/>
        <w:numPr>
          <w:ilvl w:val="0"/>
          <w:numId w:val="11"/>
        </w:numPr>
        <w:rPr>
          <w:rFonts w:ascii="Arial" w:hAnsi="Arial" w:cs="Arial"/>
        </w:rPr>
      </w:pPr>
      <w:r>
        <w:rPr>
          <w:rFonts w:ascii="Arial" w:hAnsi="Arial" w:cs="Arial"/>
        </w:rPr>
        <w:t>To determine the risk level of a specific regimen, our source hierarchy is:</w:t>
      </w:r>
    </w:p>
    <w:p w14:paraId="51C35D63" w14:textId="3909511C" w:rsidR="00B74F85" w:rsidRDefault="00B74F85" w:rsidP="00B74F85">
      <w:pPr>
        <w:pStyle w:val="NoSpacing"/>
        <w:numPr>
          <w:ilvl w:val="1"/>
          <w:numId w:val="11"/>
        </w:numPr>
        <w:rPr>
          <w:rFonts w:ascii="Arial" w:hAnsi="Arial" w:cs="Arial"/>
        </w:rPr>
      </w:pPr>
      <w:r>
        <w:rPr>
          <w:rFonts w:ascii="Arial" w:hAnsi="Arial" w:cs="Arial"/>
        </w:rPr>
        <w:t xml:space="preserve">1) The NCCN Guidelines themselves, for the specific regimen and for the specific cancer type in question. </w:t>
      </w:r>
    </w:p>
    <w:p w14:paraId="5FE08325" w14:textId="473AE7B8" w:rsidR="00B74F85" w:rsidRDefault="00B74F85" w:rsidP="00B74F85">
      <w:pPr>
        <w:pStyle w:val="NoSpacing"/>
        <w:numPr>
          <w:ilvl w:val="1"/>
          <w:numId w:val="11"/>
        </w:numPr>
        <w:rPr>
          <w:rFonts w:ascii="Arial" w:hAnsi="Arial" w:cs="Arial"/>
        </w:rPr>
      </w:pPr>
      <w:r>
        <w:rPr>
          <w:rFonts w:ascii="Arial" w:hAnsi="Arial" w:cs="Arial"/>
        </w:rPr>
        <w:t xml:space="preserve">2) The NCCN Guidelines, with extrapolation across cancer types. </w:t>
      </w:r>
      <w:proofErr w:type="spellStart"/>
      <w:r>
        <w:rPr>
          <w:rFonts w:ascii="Arial" w:hAnsi="Arial" w:cs="Arial"/>
        </w:rPr>
        <w:t>Eg.</w:t>
      </w:r>
      <w:proofErr w:type="spellEnd"/>
      <w:r>
        <w:rPr>
          <w:rFonts w:ascii="Arial" w:hAnsi="Arial" w:cs="Arial"/>
        </w:rPr>
        <w:t xml:space="preserve">, if treatment regimen with drugs X+Y+Z is specified as being “intermediate risk” as a breast </w:t>
      </w:r>
      <w:r>
        <w:rPr>
          <w:rFonts w:ascii="Arial" w:hAnsi="Arial" w:cs="Arial"/>
        </w:rPr>
        <w:lastRenderedPageBreak/>
        <w:t>cancer treatment, then that same combination can be assumed to have intermediate risk when given for a different cancer.</w:t>
      </w:r>
    </w:p>
    <w:p w14:paraId="2E2E9DA7" w14:textId="0BBA94C4" w:rsidR="00B74F85" w:rsidRDefault="00B74F85" w:rsidP="00B74F85">
      <w:pPr>
        <w:pStyle w:val="NoSpacing"/>
        <w:numPr>
          <w:ilvl w:val="1"/>
          <w:numId w:val="11"/>
        </w:numPr>
        <w:rPr>
          <w:rFonts w:ascii="Arial" w:hAnsi="Arial" w:cs="Arial"/>
        </w:rPr>
      </w:pPr>
      <w:r>
        <w:rPr>
          <w:rFonts w:ascii="Arial" w:hAnsi="Arial" w:cs="Arial"/>
        </w:rPr>
        <w:t xml:space="preserve">3) The published literature, searched via </w:t>
      </w:r>
      <w:proofErr w:type="spellStart"/>
      <w:r>
        <w:rPr>
          <w:rFonts w:ascii="Arial" w:hAnsi="Arial" w:cs="Arial"/>
        </w:rPr>
        <w:t>Pubmed</w:t>
      </w:r>
      <w:proofErr w:type="spellEnd"/>
      <w:r>
        <w:rPr>
          <w:rFonts w:ascii="Arial" w:hAnsi="Arial" w:cs="Arial"/>
        </w:rPr>
        <w:t xml:space="preserve">. We would identify a clinical study (trial or observational) of the treatment regimen in question, in which GCSF was </w:t>
      </w:r>
      <w:r w:rsidRPr="00B74F85">
        <w:rPr>
          <w:rFonts w:ascii="Arial" w:hAnsi="Arial" w:cs="Arial"/>
          <w:u w:val="single"/>
        </w:rPr>
        <w:t>not</w:t>
      </w:r>
      <w:r>
        <w:rPr>
          <w:rFonts w:ascii="Arial" w:hAnsi="Arial" w:cs="Arial"/>
        </w:rPr>
        <w:t xml:space="preserve"> given routinely, and which reported the incidence of neutropenic fever. We then assigned the neutropenic risk level in accordance with the NCCN thresholds specified above. </w:t>
      </w:r>
    </w:p>
    <w:p w14:paraId="44EE6AD4" w14:textId="7EA7E7FD" w:rsidR="005370D2" w:rsidRDefault="005370D2" w:rsidP="00B74F85">
      <w:pPr>
        <w:pStyle w:val="NoSpacing"/>
        <w:numPr>
          <w:ilvl w:val="1"/>
          <w:numId w:val="11"/>
        </w:numPr>
        <w:rPr>
          <w:rFonts w:ascii="Arial" w:hAnsi="Arial" w:cs="Arial"/>
        </w:rPr>
      </w:pPr>
      <w:r>
        <w:rPr>
          <w:rFonts w:ascii="Arial" w:hAnsi="Arial" w:cs="Arial"/>
        </w:rPr>
        <w:t xml:space="preserve">Treatments given on a weekly basis are assumed to have low neutropenic fever risk </w:t>
      </w:r>
    </w:p>
    <w:p w14:paraId="2FC0FD97" w14:textId="434D7B45" w:rsidR="002C4245" w:rsidRPr="005370D2" w:rsidRDefault="005370D2" w:rsidP="00682DDC">
      <w:pPr>
        <w:pStyle w:val="NoSpacing"/>
        <w:numPr>
          <w:ilvl w:val="0"/>
          <w:numId w:val="11"/>
        </w:numPr>
        <w:rPr>
          <w:rFonts w:ascii="Arial" w:hAnsi="Arial" w:cs="Arial"/>
        </w:rPr>
      </w:pPr>
      <w:r>
        <w:rPr>
          <w:rFonts w:ascii="Arial" w:hAnsi="Arial" w:cs="Arial"/>
        </w:rPr>
        <w:t>T</w:t>
      </w:r>
      <w:r w:rsidR="002C4245" w:rsidRPr="00FB2B15">
        <w:rPr>
          <w:rFonts w:ascii="Arial" w:hAnsi="Arial" w:cs="Arial"/>
        </w:rPr>
        <w:t xml:space="preserve">reatments with high (&gt;20%) risk of neutropenic fever </w:t>
      </w:r>
      <w:r>
        <w:rPr>
          <w:rFonts w:ascii="Arial" w:hAnsi="Arial" w:cs="Arial"/>
        </w:rPr>
        <w:t>are assumed to</w:t>
      </w:r>
      <w:r w:rsidR="002C4245" w:rsidRPr="00FB2B15">
        <w:rPr>
          <w:rFonts w:ascii="Arial" w:hAnsi="Arial" w:cs="Arial"/>
        </w:rPr>
        <w:t xml:space="preserve"> receive a single dose of peg-filgrastim </w:t>
      </w:r>
      <w:r w:rsidR="002C4245" w:rsidRPr="005370D2">
        <w:rPr>
          <w:rFonts w:ascii="Arial" w:hAnsi="Arial" w:cs="Arial"/>
          <w:bCs/>
        </w:rPr>
        <w:t>per cycle</w:t>
      </w:r>
      <w:r>
        <w:rPr>
          <w:rFonts w:ascii="Arial" w:hAnsi="Arial" w:cs="Arial"/>
          <w:bCs/>
        </w:rPr>
        <w:t xml:space="preserve">. </w:t>
      </w:r>
    </w:p>
    <w:p w14:paraId="59ED40EC" w14:textId="28982079" w:rsidR="005370D2" w:rsidRDefault="005370D2" w:rsidP="00682DDC">
      <w:pPr>
        <w:pStyle w:val="NoSpacing"/>
        <w:numPr>
          <w:ilvl w:val="0"/>
          <w:numId w:val="11"/>
        </w:numPr>
        <w:rPr>
          <w:rFonts w:ascii="Arial" w:hAnsi="Arial" w:cs="Arial"/>
        </w:rPr>
      </w:pPr>
      <w:r>
        <w:rPr>
          <w:rFonts w:ascii="Arial" w:hAnsi="Arial" w:cs="Arial"/>
        </w:rPr>
        <w:t xml:space="preserve">Treatments with low (&lt;10%) risk of NF are assumed to receive no growth factor. </w:t>
      </w:r>
    </w:p>
    <w:p w14:paraId="53D4862C" w14:textId="73278AD6" w:rsidR="005370D2" w:rsidRPr="00682DDC" w:rsidRDefault="005370D2" w:rsidP="00682DDC">
      <w:pPr>
        <w:pStyle w:val="NoSpacing"/>
        <w:numPr>
          <w:ilvl w:val="0"/>
          <w:numId w:val="11"/>
        </w:numPr>
        <w:rPr>
          <w:rFonts w:ascii="Arial" w:hAnsi="Arial" w:cs="Arial"/>
        </w:rPr>
      </w:pPr>
      <w:r>
        <w:rPr>
          <w:rFonts w:ascii="Arial" w:hAnsi="Arial" w:cs="Arial"/>
        </w:rPr>
        <w:t xml:space="preserve">Treatments with intermediate risk of NF are assumed to receive either no growth factor </w:t>
      </w:r>
      <w:r w:rsidRPr="005370D2">
        <w:rPr>
          <w:rFonts w:ascii="Arial" w:hAnsi="Arial" w:cs="Arial"/>
          <w:u w:val="single"/>
        </w:rPr>
        <w:t>or</w:t>
      </w:r>
      <w:r>
        <w:rPr>
          <w:rFonts w:ascii="Arial" w:hAnsi="Arial" w:cs="Arial"/>
        </w:rPr>
        <w:t xml:space="preserve"> a single dose of peg-filgrastim per cycle, depending on whether “high margin” or “low margin” prices are being calculated (see below). </w:t>
      </w:r>
    </w:p>
    <w:p w14:paraId="52821058" w14:textId="77777777" w:rsidR="005370D2" w:rsidRPr="005370D2" w:rsidRDefault="005370D2" w:rsidP="005370D2">
      <w:pPr>
        <w:pStyle w:val="NoSpacing"/>
        <w:ind w:left="360"/>
        <w:rPr>
          <w:rFonts w:ascii="Arial" w:hAnsi="Arial" w:cs="Arial"/>
        </w:rPr>
      </w:pPr>
    </w:p>
    <w:p w14:paraId="33F668ED" w14:textId="6263F574" w:rsidR="000E2204" w:rsidRPr="00FB2B15" w:rsidRDefault="00B74F85" w:rsidP="000E2204">
      <w:pPr>
        <w:pStyle w:val="NoSpacing"/>
        <w:numPr>
          <w:ilvl w:val="0"/>
          <w:numId w:val="11"/>
        </w:numPr>
        <w:rPr>
          <w:rFonts w:ascii="Arial" w:hAnsi="Arial" w:cs="Arial"/>
        </w:rPr>
      </w:pPr>
      <w:r>
        <w:rPr>
          <w:rFonts w:ascii="Arial" w:hAnsi="Arial" w:cs="Arial"/>
          <w:bCs/>
        </w:rPr>
        <w:t>When we encountered cases where the NCCN Guidelines changed the specified</w:t>
      </w:r>
      <w:r w:rsidR="005370D2">
        <w:rPr>
          <w:rFonts w:ascii="Arial" w:hAnsi="Arial" w:cs="Arial"/>
          <w:bCs/>
        </w:rPr>
        <w:t xml:space="preserve"> risk level (for emesis or NF) for a given treatment, we included this change in our assigned risk level concurrently. </w:t>
      </w:r>
    </w:p>
    <w:p w14:paraId="5D156CDA" w14:textId="7AA0E24B" w:rsidR="000E2204" w:rsidRDefault="005370D2" w:rsidP="000E2204">
      <w:pPr>
        <w:pStyle w:val="NoSpacing"/>
        <w:numPr>
          <w:ilvl w:val="1"/>
          <w:numId w:val="11"/>
        </w:numPr>
        <w:rPr>
          <w:rFonts w:ascii="Arial" w:hAnsi="Arial" w:cs="Arial"/>
        </w:rPr>
      </w:pPr>
      <w:r>
        <w:rPr>
          <w:rFonts w:ascii="Arial" w:hAnsi="Arial" w:cs="Arial"/>
        </w:rPr>
        <w:t>For example, a</w:t>
      </w:r>
      <w:r w:rsidR="000E2204" w:rsidRPr="00FB2B15">
        <w:rPr>
          <w:rFonts w:ascii="Arial" w:hAnsi="Arial" w:cs="Arial"/>
        </w:rPr>
        <w:t xml:space="preserve">tezolizumab was </w:t>
      </w:r>
      <w:r>
        <w:rPr>
          <w:rFonts w:ascii="Arial" w:hAnsi="Arial" w:cs="Arial"/>
        </w:rPr>
        <w:t xml:space="preserve">previously specified as </w:t>
      </w:r>
      <w:r w:rsidR="000E2204" w:rsidRPr="005370D2">
        <w:rPr>
          <w:rFonts w:ascii="Arial" w:hAnsi="Arial" w:cs="Arial"/>
          <w:u w:val="single"/>
        </w:rPr>
        <w:t>low</w:t>
      </w:r>
      <w:r w:rsidR="000E2204" w:rsidRPr="00FB2B15">
        <w:rPr>
          <w:rFonts w:ascii="Arial" w:hAnsi="Arial" w:cs="Arial"/>
        </w:rPr>
        <w:t xml:space="preserve"> emetic risk</w:t>
      </w:r>
      <w:r>
        <w:rPr>
          <w:rFonts w:ascii="Arial" w:hAnsi="Arial" w:cs="Arial"/>
        </w:rPr>
        <w:t>, and was then changed to</w:t>
      </w:r>
      <w:r w:rsidR="000E2204" w:rsidRPr="00FB2B15">
        <w:rPr>
          <w:rFonts w:ascii="Arial" w:hAnsi="Arial" w:cs="Arial"/>
        </w:rPr>
        <w:t xml:space="preserve"> </w:t>
      </w:r>
      <w:r w:rsidR="000E2204" w:rsidRPr="005370D2">
        <w:rPr>
          <w:rFonts w:ascii="Arial" w:hAnsi="Arial" w:cs="Arial"/>
          <w:u w:val="single"/>
        </w:rPr>
        <w:t>minimal</w:t>
      </w:r>
      <w:r w:rsidR="000E2204" w:rsidRPr="00FB2B15">
        <w:rPr>
          <w:rFonts w:ascii="Arial" w:hAnsi="Arial" w:cs="Arial"/>
        </w:rPr>
        <w:t xml:space="preserve"> risk </w:t>
      </w:r>
      <w:r>
        <w:rPr>
          <w:rFonts w:ascii="Arial" w:hAnsi="Arial" w:cs="Arial"/>
        </w:rPr>
        <w:t>during the time period between January and July</w:t>
      </w:r>
      <w:r w:rsidR="000E2204" w:rsidRPr="00FB2B15">
        <w:rPr>
          <w:rFonts w:ascii="Arial" w:hAnsi="Arial" w:cs="Arial"/>
        </w:rPr>
        <w:t xml:space="preserve"> 2019. </w:t>
      </w:r>
      <w:r>
        <w:rPr>
          <w:rFonts w:ascii="Arial" w:hAnsi="Arial" w:cs="Arial"/>
        </w:rPr>
        <w:t>Therefore, in the</w:t>
      </w:r>
      <w:r w:rsidR="000E2204" w:rsidRPr="00FB2B15">
        <w:rPr>
          <w:rFonts w:ascii="Arial" w:hAnsi="Arial" w:cs="Arial"/>
        </w:rPr>
        <w:t xml:space="preserve"> Jan 2019 </w:t>
      </w:r>
      <w:r>
        <w:rPr>
          <w:rFonts w:ascii="Arial" w:hAnsi="Arial" w:cs="Arial"/>
        </w:rPr>
        <w:t>abstraction atezolizumab retains an</w:t>
      </w:r>
      <w:r w:rsidR="000E2204" w:rsidRPr="00FB2B15">
        <w:rPr>
          <w:rFonts w:ascii="Arial" w:hAnsi="Arial" w:cs="Arial"/>
        </w:rPr>
        <w:t xml:space="preserve"> emetic risk = low (1)</w:t>
      </w:r>
      <w:r>
        <w:rPr>
          <w:rFonts w:ascii="Arial" w:hAnsi="Arial" w:cs="Arial"/>
        </w:rPr>
        <w:t>, and in the July 2019 abstraction (and thereafter) emetic risk = minimal (0)</w:t>
      </w:r>
      <w:r w:rsidR="000E2204" w:rsidRPr="00FB2B15">
        <w:rPr>
          <w:rFonts w:ascii="Arial" w:hAnsi="Arial" w:cs="Arial"/>
        </w:rPr>
        <w:t xml:space="preserve">. </w:t>
      </w:r>
    </w:p>
    <w:p w14:paraId="1919490E" w14:textId="77777777" w:rsidR="005370D2" w:rsidRPr="00FB2B15" w:rsidRDefault="005370D2" w:rsidP="005370D2">
      <w:pPr>
        <w:pStyle w:val="NoSpacing"/>
        <w:ind w:left="1080"/>
        <w:rPr>
          <w:rFonts w:ascii="Arial" w:hAnsi="Arial" w:cs="Arial"/>
        </w:rPr>
      </w:pPr>
    </w:p>
    <w:p w14:paraId="5CB5EBF2" w14:textId="30CAA65B" w:rsidR="00517321" w:rsidRPr="00FB2B15" w:rsidRDefault="00517321" w:rsidP="00517321">
      <w:pPr>
        <w:pStyle w:val="NoSpacing"/>
        <w:numPr>
          <w:ilvl w:val="0"/>
          <w:numId w:val="11"/>
        </w:numPr>
        <w:rPr>
          <w:rFonts w:ascii="Arial" w:hAnsi="Arial" w:cs="Arial"/>
        </w:rPr>
      </w:pPr>
      <w:r w:rsidRPr="00FB2B15">
        <w:rPr>
          <w:rFonts w:ascii="Arial" w:hAnsi="Arial" w:cs="Arial"/>
        </w:rPr>
        <w:t xml:space="preserve">For each </w:t>
      </w:r>
      <w:r w:rsidR="00C212B9">
        <w:rPr>
          <w:rFonts w:ascii="Arial" w:hAnsi="Arial" w:cs="Arial"/>
        </w:rPr>
        <w:t xml:space="preserve">treatment </w:t>
      </w:r>
      <w:r w:rsidRPr="00FB2B15">
        <w:rPr>
          <w:rFonts w:ascii="Arial" w:hAnsi="Arial" w:cs="Arial"/>
        </w:rPr>
        <w:t>regimen, we calculate three cost estimates</w:t>
      </w:r>
      <w:r w:rsidR="00C212B9">
        <w:rPr>
          <w:rFonts w:ascii="Arial" w:hAnsi="Arial" w:cs="Arial"/>
        </w:rPr>
        <w:t>: 1)</w:t>
      </w:r>
      <w:r w:rsidRPr="00FB2B15">
        <w:rPr>
          <w:rFonts w:ascii="Arial" w:hAnsi="Arial" w:cs="Arial"/>
        </w:rPr>
        <w:t xml:space="preserve"> chemotherapy price, </w:t>
      </w:r>
      <w:r w:rsidR="00C212B9">
        <w:rPr>
          <w:rFonts w:ascii="Arial" w:hAnsi="Arial" w:cs="Arial"/>
        </w:rPr>
        <w:t>2)</w:t>
      </w:r>
      <w:r w:rsidRPr="00FB2B15">
        <w:rPr>
          <w:rFonts w:ascii="Arial" w:hAnsi="Arial" w:cs="Arial"/>
        </w:rPr>
        <w:t xml:space="preserve"> </w:t>
      </w:r>
      <w:r w:rsidRPr="00510805">
        <w:rPr>
          <w:rFonts w:ascii="Arial" w:hAnsi="Arial" w:cs="Arial"/>
          <w:u w:val="single"/>
        </w:rPr>
        <w:t>high-margin</w:t>
      </w:r>
      <w:r w:rsidRPr="00FB2B15">
        <w:rPr>
          <w:rFonts w:ascii="Arial" w:hAnsi="Arial" w:cs="Arial"/>
        </w:rPr>
        <w:t xml:space="preserve"> treatment price, and </w:t>
      </w:r>
      <w:r w:rsidR="00C212B9">
        <w:rPr>
          <w:rFonts w:ascii="Arial" w:hAnsi="Arial" w:cs="Arial"/>
        </w:rPr>
        <w:t>3)</w:t>
      </w:r>
      <w:r w:rsidRPr="00FB2B15">
        <w:rPr>
          <w:rFonts w:ascii="Arial" w:hAnsi="Arial" w:cs="Arial"/>
        </w:rPr>
        <w:t xml:space="preserve"> </w:t>
      </w:r>
      <w:r w:rsidRPr="00510805">
        <w:rPr>
          <w:rFonts w:ascii="Arial" w:hAnsi="Arial" w:cs="Arial"/>
          <w:u w:val="single"/>
        </w:rPr>
        <w:t>low-margin</w:t>
      </w:r>
      <w:r w:rsidRPr="00FB2B15">
        <w:rPr>
          <w:rFonts w:ascii="Arial" w:hAnsi="Arial" w:cs="Arial"/>
        </w:rPr>
        <w:t xml:space="preserve"> treatment price. The chemotherapy </w:t>
      </w:r>
      <w:r w:rsidR="00C212B9">
        <w:rPr>
          <w:rFonts w:ascii="Arial" w:hAnsi="Arial" w:cs="Arial"/>
        </w:rPr>
        <w:t>price</w:t>
      </w:r>
      <w:r w:rsidRPr="00FB2B15">
        <w:rPr>
          <w:rFonts w:ascii="Arial" w:hAnsi="Arial" w:cs="Arial"/>
        </w:rPr>
        <w:t xml:space="preserve"> incorporates the </w:t>
      </w:r>
      <w:r w:rsidR="00C212B9">
        <w:rPr>
          <w:rFonts w:ascii="Arial" w:hAnsi="Arial" w:cs="Arial"/>
        </w:rPr>
        <w:t xml:space="preserve">antineoplastic </w:t>
      </w:r>
      <w:r w:rsidRPr="00FB2B15">
        <w:rPr>
          <w:rFonts w:ascii="Arial" w:hAnsi="Arial" w:cs="Arial"/>
        </w:rPr>
        <w:t>drug and administration costs</w:t>
      </w:r>
      <w:r w:rsidR="00C212B9">
        <w:rPr>
          <w:rFonts w:ascii="Arial" w:hAnsi="Arial" w:cs="Arial"/>
        </w:rPr>
        <w:t xml:space="preserve"> (</w:t>
      </w:r>
      <w:proofErr w:type="spellStart"/>
      <w:r w:rsidR="00C212B9">
        <w:rPr>
          <w:rFonts w:ascii="Arial" w:hAnsi="Arial" w:cs="Arial"/>
        </w:rPr>
        <w:t>eg.</w:t>
      </w:r>
      <w:proofErr w:type="spellEnd"/>
      <w:r w:rsidR="00C212B9">
        <w:rPr>
          <w:rFonts w:ascii="Arial" w:hAnsi="Arial" w:cs="Arial"/>
        </w:rPr>
        <w:t>, supportive care costs are not included)</w:t>
      </w:r>
      <w:r w:rsidRPr="00FB2B15">
        <w:rPr>
          <w:rFonts w:ascii="Arial" w:hAnsi="Arial" w:cs="Arial"/>
        </w:rPr>
        <w:t xml:space="preserve">. The </w:t>
      </w:r>
      <w:r w:rsidR="00C212B9">
        <w:rPr>
          <w:rFonts w:ascii="Arial" w:hAnsi="Arial" w:cs="Arial"/>
        </w:rPr>
        <w:t>high-margin and low-margin prices</w:t>
      </w:r>
      <w:r w:rsidRPr="00FB2B15">
        <w:rPr>
          <w:rFonts w:ascii="Arial" w:hAnsi="Arial" w:cs="Arial"/>
        </w:rPr>
        <w:t xml:space="preserve"> incorporate the cost of supportive care as described below: </w:t>
      </w:r>
    </w:p>
    <w:p w14:paraId="1508CF8C" w14:textId="474308F4" w:rsidR="00370371" w:rsidRPr="00FB2B15" w:rsidRDefault="00517321" w:rsidP="00370371">
      <w:pPr>
        <w:pStyle w:val="NoSpacing"/>
        <w:numPr>
          <w:ilvl w:val="1"/>
          <w:numId w:val="11"/>
        </w:numPr>
        <w:rPr>
          <w:rFonts w:ascii="Arial" w:hAnsi="Arial" w:cs="Arial"/>
        </w:rPr>
      </w:pPr>
      <w:r w:rsidRPr="00FB2B15">
        <w:rPr>
          <w:rFonts w:ascii="Arial" w:hAnsi="Arial" w:cs="Arial"/>
        </w:rPr>
        <w:t xml:space="preserve">High-margin: assumes supportive care meds are given </w:t>
      </w:r>
      <w:r w:rsidRPr="00C212B9">
        <w:rPr>
          <w:rFonts w:ascii="Arial" w:hAnsi="Arial" w:cs="Arial"/>
          <w:u w:val="single"/>
        </w:rPr>
        <w:t>more aggressively</w:t>
      </w:r>
      <w:r w:rsidRPr="00FB2B15">
        <w:rPr>
          <w:rFonts w:ascii="Arial" w:hAnsi="Arial" w:cs="Arial"/>
        </w:rPr>
        <w:t xml:space="preserve"> and with </w:t>
      </w:r>
      <w:r w:rsidRPr="00677AA2">
        <w:rPr>
          <w:rFonts w:ascii="Arial" w:hAnsi="Arial" w:cs="Arial"/>
          <w:u w:val="single"/>
        </w:rPr>
        <w:t>higher-cost</w:t>
      </w:r>
      <w:r w:rsidRPr="00FB2B15">
        <w:rPr>
          <w:rFonts w:ascii="Arial" w:hAnsi="Arial" w:cs="Arial"/>
        </w:rPr>
        <w:t xml:space="preserve"> options</w:t>
      </w:r>
    </w:p>
    <w:p w14:paraId="05D543E3" w14:textId="6BC9D976" w:rsidR="00517321" w:rsidRPr="00FB2B15" w:rsidRDefault="00517321" w:rsidP="00517321">
      <w:pPr>
        <w:pStyle w:val="NoSpacing"/>
        <w:numPr>
          <w:ilvl w:val="1"/>
          <w:numId w:val="11"/>
        </w:numPr>
        <w:rPr>
          <w:rFonts w:ascii="Arial" w:hAnsi="Arial" w:cs="Arial"/>
        </w:rPr>
      </w:pPr>
      <w:r w:rsidRPr="00FB2B15">
        <w:rPr>
          <w:rFonts w:ascii="Arial" w:hAnsi="Arial" w:cs="Arial"/>
        </w:rPr>
        <w:t xml:space="preserve">Low-margin: </w:t>
      </w:r>
      <w:r w:rsidR="00086F9D" w:rsidRPr="00FB2B15">
        <w:rPr>
          <w:rFonts w:ascii="Arial" w:hAnsi="Arial" w:cs="Arial"/>
        </w:rPr>
        <w:t xml:space="preserve">assumes supportive care meds are given </w:t>
      </w:r>
      <w:r w:rsidR="00086F9D" w:rsidRPr="00677AA2">
        <w:rPr>
          <w:rFonts w:ascii="Arial" w:hAnsi="Arial" w:cs="Arial"/>
          <w:u w:val="single"/>
        </w:rPr>
        <w:t>less aggressively</w:t>
      </w:r>
      <w:r w:rsidR="00086F9D" w:rsidRPr="00FB2B15">
        <w:rPr>
          <w:rFonts w:ascii="Arial" w:hAnsi="Arial" w:cs="Arial"/>
        </w:rPr>
        <w:t xml:space="preserve"> and with </w:t>
      </w:r>
      <w:r w:rsidR="00086F9D" w:rsidRPr="00677AA2">
        <w:rPr>
          <w:rFonts w:ascii="Arial" w:hAnsi="Arial" w:cs="Arial"/>
          <w:u w:val="single"/>
        </w:rPr>
        <w:t>lower-cost</w:t>
      </w:r>
      <w:r w:rsidR="00086F9D" w:rsidRPr="00FB2B15">
        <w:rPr>
          <w:rFonts w:ascii="Arial" w:hAnsi="Arial" w:cs="Arial"/>
        </w:rPr>
        <w:t xml:space="preserve"> options</w:t>
      </w:r>
    </w:p>
    <w:p w14:paraId="7D9BFDFA" w14:textId="28B906F0" w:rsidR="00370371" w:rsidRDefault="00677AA2" w:rsidP="00677AA2">
      <w:pPr>
        <w:pStyle w:val="NoSpacing"/>
        <w:numPr>
          <w:ilvl w:val="2"/>
          <w:numId w:val="11"/>
        </w:numPr>
        <w:rPr>
          <w:rFonts w:ascii="Arial" w:hAnsi="Arial" w:cs="Arial"/>
        </w:rPr>
      </w:pPr>
      <w:r>
        <w:rPr>
          <w:rFonts w:ascii="Arial" w:hAnsi="Arial" w:cs="Arial"/>
        </w:rPr>
        <w:t xml:space="preserve">For growth factor support, treatments with intermediate risk for NF (GCSF risk = 1), are assumed to receive no GCSF in the “low margin” price and to receive a single dose of peg-filgrastim per cycle in the “high margin” price. </w:t>
      </w:r>
    </w:p>
    <w:p w14:paraId="242F2CFA" w14:textId="5C342138" w:rsidR="00677AA2" w:rsidRDefault="00677AA2" w:rsidP="00677AA2">
      <w:pPr>
        <w:pStyle w:val="NoSpacing"/>
        <w:numPr>
          <w:ilvl w:val="2"/>
          <w:numId w:val="11"/>
        </w:numPr>
        <w:rPr>
          <w:rFonts w:ascii="Arial" w:hAnsi="Arial" w:cs="Arial"/>
        </w:rPr>
      </w:pPr>
      <w:r>
        <w:rPr>
          <w:rFonts w:ascii="Arial" w:hAnsi="Arial" w:cs="Arial"/>
        </w:rPr>
        <w:t xml:space="preserve">For both antiemesis and growth factor support, the </w:t>
      </w:r>
      <w:r w:rsidRPr="00677AA2">
        <w:rPr>
          <w:rFonts w:ascii="Arial" w:hAnsi="Arial" w:cs="Arial"/>
          <w:u w:val="single"/>
        </w:rPr>
        <w:t>lowest price</w:t>
      </w:r>
      <w:r>
        <w:rPr>
          <w:rFonts w:ascii="Arial" w:hAnsi="Arial" w:cs="Arial"/>
        </w:rPr>
        <w:t xml:space="preserve"> and </w:t>
      </w:r>
      <w:r w:rsidRPr="00677AA2">
        <w:rPr>
          <w:rFonts w:ascii="Arial" w:hAnsi="Arial" w:cs="Arial"/>
          <w:u w:val="single"/>
        </w:rPr>
        <w:t>highest price</w:t>
      </w:r>
      <w:r>
        <w:rPr>
          <w:rFonts w:ascii="Arial" w:hAnsi="Arial" w:cs="Arial"/>
        </w:rPr>
        <w:t xml:space="preserve"> guideline-concordant options are determined by calculations in the </w:t>
      </w:r>
      <w:r w:rsidRPr="00677AA2">
        <w:rPr>
          <w:rFonts w:ascii="Arial" w:hAnsi="Arial" w:cs="Arial"/>
          <w:b/>
          <w:bCs/>
        </w:rPr>
        <w:t>special cases supportive care</w:t>
      </w:r>
      <w:r>
        <w:rPr>
          <w:rFonts w:ascii="Arial" w:hAnsi="Arial" w:cs="Arial"/>
        </w:rPr>
        <w:t xml:space="preserve"> tab. </w:t>
      </w:r>
    </w:p>
    <w:p w14:paraId="3C2EF772" w14:textId="0C97E94F" w:rsidR="00677AA2" w:rsidRPr="00FB2B15" w:rsidRDefault="00677AA2" w:rsidP="00677AA2">
      <w:pPr>
        <w:pStyle w:val="NoSpacing"/>
        <w:numPr>
          <w:ilvl w:val="3"/>
          <w:numId w:val="11"/>
        </w:numPr>
        <w:rPr>
          <w:rFonts w:ascii="Arial" w:hAnsi="Arial" w:cs="Arial"/>
        </w:rPr>
      </w:pPr>
      <w:r>
        <w:rPr>
          <w:rFonts w:ascii="Arial" w:hAnsi="Arial" w:cs="Arial"/>
        </w:rPr>
        <w:t>These calculations are repeated in each spreadsheet version, in order to reflect either changes to recommended supportive care treatments by NCCN</w:t>
      </w:r>
      <w:r w:rsidR="00303D30">
        <w:rPr>
          <w:rFonts w:ascii="Arial" w:hAnsi="Arial" w:cs="Arial"/>
        </w:rPr>
        <w:t>, price changes of existing agents, and newly available supportive care agents (</w:t>
      </w:r>
      <w:proofErr w:type="spellStart"/>
      <w:r w:rsidR="00303D30">
        <w:rPr>
          <w:rFonts w:ascii="Arial" w:hAnsi="Arial" w:cs="Arial"/>
        </w:rPr>
        <w:t>eg.</w:t>
      </w:r>
      <w:proofErr w:type="spellEnd"/>
      <w:r w:rsidR="00303D30">
        <w:rPr>
          <w:rFonts w:ascii="Arial" w:hAnsi="Arial" w:cs="Arial"/>
        </w:rPr>
        <w:t>, gene</w:t>
      </w:r>
      <w:r w:rsidR="00666318">
        <w:rPr>
          <w:rFonts w:ascii="Arial" w:hAnsi="Arial" w:cs="Arial"/>
        </w:rPr>
        <w:t>r</w:t>
      </w:r>
      <w:r w:rsidR="00303D30">
        <w:rPr>
          <w:rFonts w:ascii="Arial" w:hAnsi="Arial" w:cs="Arial"/>
        </w:rPr>
        <w:t xml:space="preserve">ics and biosimilars) </w:t>
      </w:r>
    </w:p>
    <w:p w14:paraId="139D13FD" w14:textId="6821F11E" w:rsidR="00370371" w:rsidRPr="00FB2B15" w:rsidRDefault="00303D30" w:rsidP="00370371">
      <w:pPr>
        <w:pStyle w:val="NoSpacing"/>
        <w:numPr>
          <w:ilvl w:val="2"/>
          <w:numId w:val="11"/>
        </w:numPr>
        <w:rPr>
          <w:rFonts w:ascii="Arial" w:hAnsi="Arial" w:cs="Arial"/>
        </w:rPr>
      </w:pPr>
      <w:r>
        <w:rPr>
          <w:rFonts w:ascii="Arial" w:hAnsi="Arial" w:cs="Arial"/>
        </w:rPr>
        <w:t xml:space="preserve">For both antiemesis and growth factor support, the lowest price option is assumed to be used in the “low margin” price, and the highest price option is assumed to be used in the “high margin” price. </w:t>
      </w:r>
      <w:r w:rsidR="00F457F7">
        <w:rPr>
          <w:rFonts w:ascii="Arial" w:hAnsi="Arial" w:cs="Arial"/>
        </w:rPr>
        <w:br/>
      </w:r>
      <w:r w:rsidR="00F457F7">
        <w:rPr>
          <w:rFonts w:ascii="Arial" w:hAnsi="Arial" w:cs="Arial"/>
        </w:rPr>
        <w:br/>
      </w:r>
      <w:r w:rsidR="00F457F7">
        <w:rPr>
          <w:rFonts w:ascii="Arial" w:hAnsi="Arial" w:cs="Arial"/>
        </w:rPr>
        <w:br/>
      </w:r>
    </w:p>
    <w:p w14:paraId="19F407CF" w14:textId="19BB53D7" w:rsidR="00BF2098" w:rsidRDefault="004421B1" w:rsidP="00060BD8">
      <w:pPr>
        <w:pStyle w:val="Heading1"/>
        <w:numPr>
          <w:ilvl w:val="0"/>
          <w:numId w:val="0"/>
        </w:numPr>
        <w:rPr>
          <w:rFonts w:ascii="Arial" w:hAnsi="Arial" w:cs="Arial"/>
          <w:u w:val="single"/>
        </w:rPr>
      </w:pPr>
      <w:bookmarkStart w:id="18" w:name="_Toc194582585"/>
      <w:r>
        <w:rPr>
          <w:rFonts w:ascii="Arial" w:hAnsi="Arial" w:cs="Arial"/>
          <w:color w:val="auto"/>
          <w:u w:val="single"/>
        </w:rPr>
        <w:lastRenderedPageBreak/>
        <w:t xml:space="preserve">Drug </w:t>
      </w:r>
      <w:r w:rsidR="00BF2098" w:rsidRPr="00060BD8">
        <w:rPr>
          <w:rFonts w:ascii="Arial" w:hAnsi="Arial" w:cs="Arial"/>
          <w:color w:val="auto"/>
          <w:u w:val="single"/>
        </w:rPr>
        <w:t>Administration</w:t>
      </w:r>
      <w:r>
        <w:rPr>
          <w:rFonts w:ascii="Arial" w:hAnsi="Arial" w:cs="Arial"/>
          <w:color w:val="auto"/>
          <w:u w:val="single"/>
        </w:rPr>
        <w:t xml:space="preserve"> Costs</w:t>
      </w:r>
      <w:bookmarkEnd w:id="18"/>
    </w:p>
    <w:p w14:paraId="746FD0EC" w14:textId="77777777" w:rsidR="00060BD8" w:rsidRPr="00060BD8" w:rsidRDefault="00060BD8" w:rsidP="00060BD8">
      <w:pPr>
        <w:numPr>
          <w:ilvl w:val="0"/>
          <w:numId w:val="0"/>
        </w:numPr>
      </w:pPr>
    </w:p>
    <w:p w14:paraId="2523948F" w14:textId="1AE60563" w:rsidR="002066A7" w:rsidRDefault="00842C88" w:rsidP="00666318">
      <w:pPr>
        <w:pStyle w:val="NoSpacing"/>
        <w:numPr>
          <w:ilvl w:val="0"/>
          <w:numId w:val="19"/>
        </w:numPr>
        <w:rPr>
          <w:rFonts w:ascii="Arial" w:hAnsi="Arial" w:cs="Arial"/>
          <w:bCs/>
        </w:rPr>
      </w:pPr>
      <w:r w:rsidRPr="00FB2B15">
        <w:rPr>
          <w:rFonts w:ascii="Arial" w:hAnsi="Arial" w:cs="Arial"/>
          <w:bCs/>
        </w:rPr>
        <w:t xml:space="preserve">Each drug-ROA combination was assigned a </w:t>
      </w:r>
      <w:r w:rsidR="00F93D16">
        <w:rPr>
          <w:rFonts w:ascii="Arial" w:hAnsi="Arial" w:cs="Arial"/>
          <w:bCs/>
        </w:rPr>
        <w:t>CPT/</w:t>
      </w:r>
      <w:r w:rsidRPr="00FB2B15">
        <w:rPr>
          <w:rFonts w:ascii="Arial" w:hAnsi="Arial" w:cs="Arial"/>
          <w:bCs/>
        </w:rPr>
        <w:t xml:space="preserve">HCPCS code </w:t>
      </w:r>
      <w:r w:rsidR="00666318">
        <w:rPr>
          <w:rFonts w:ascii="Arial" w:hAnsi="Arial" w:cs="Arial"/>
          <w:bCs/>
        </w:rPr>
        <w:t xml:space="preserve">(or codes) </w:t>
      </w:r>
      <w:r w:rsidRPr="00FB2B15">
        <w:rPr>
          <w:rFonts w:ascii="Arial" w:hAnsi="Arial" w:cs="Arial"/>
          <w:bCs/>
        </w:rPr>
        <w:t>for administration costs</w:t>
      </w:r>
      <w:r w:rsidR="00666318">
        <w:rPr>
          <w:rFonts w:ascii="Arial" w:hAnsi="Arial" w:cs="Arial"/>
          <w:bCs/>
        </w:rPr>
        <w:t xml:space="preserve">. We used </w:t>
      </w:r>
      <w:r w:rsidR="00F93D16">
        <w:rPr>
          <w:rFonts w:ascii="Arial" w:hAnsi="Arial" w:cs="Arial"/>
          <w:bCs/>
        </w:rPr>
        <w:t>CPT/</w:t>
      </w:r>
      <w:r w:rsidR="00666318">
        <w:rPr>
          <w:rFonts w:ascii="Arial" w:hAnsi="Arial" w:cs="Arial"/>
          <w:bCs/>
        </w:rPr>
        <w:t>HCPCS codes corresponding to drug class as appropriate (</w:t>
      </w:r>
      <w:proofErr w:type="spellStart"/>
      <w:r w:rsidR="00666318">
        <w:rPr>
          <w:rFonts w:ascii="Arial" w:hAnsi="Arial" w:cs="Arial"/>
          <w:bCs/>
        </w:rPr>
        <w:t>eg.</w:t>
      </w:r>
      <w:proofErr w:type="spellEnd"/>
      <w:r w:rsidR="00666318">
        <w:rPr>
          <w:rFonts w:ascii="Arial" w:hAnsi="Arial" w:cs="Arial"/>
          <w:bCs/>
        </w:rPr>
        <w:t xml:space="preserve">, separate billing codes for chemotherapeutic vs. hormonal agents, or intravenous vs. subcutaneous administration). </w:t>
      </w:r>
    </w:p>
    <w:p w14:paraId="38F2ADDE" w14:textId="2361983D" w:rsidR="00F93D16" w:rsidRDefault="00F93D16" w:rsidP="00666318">
      <w:pPr>
        <w:pStyle w:val="NoSpacing"/>
        <w:numPr>
          <w:ilvl w:val="0"/>
          <w:numId w:val="19"/>
        </w:numPr>
        <w:rPr>
          <w:rFonts w:ascii="Arial" w:hAnsi="Arial" w:cs="Arial"/>
          <w:bCs/>
        </w:rPr>
      </w:pPr>
      <w:r>
        <w:rPr>
          <w:rFonts w:ascii="Arial" w:hAnsi="Arial" w:cs="Arial"/>
          <w:bCs/>
        </w:rPr>
        <w:t xml:space="preserve">For intravenous agents, we referred to administration guidelines on the drug label to ascertain length of infusion time. For agents taking up to one hour, we coded CPT 96413. For agents taking more than one hour, we used CPT 96413 and additionally CPT 96415 for each additional half hour as appropriate, rounded to the nearest half hour. </w:t>
      </w:r>
    </w:p>
    <w:p w14:paraId="3ABC73A9" w14:textId="77777777" w:rsidR="00226FD9" w:rsidRPr="00FB2B15" w:rsidRDefault="00226FD9" w:rsidP="00226FD9">
      <w:pPr>
        <w:pStyle w:val="NoSpacing"/>
        <w:numPr>
          <w:ilvl w:val="0"/>
          <w:numId w:val="19"/>
        </w:numPr>
        <w:rPr>
          <w:rFonts w:ascii="Arial" w:hAnsi="Arial" w:cs="Arial"/>
          <w:b/>
        </w:rPr>
      </w:pPr>
      <w:r w:rsidRPr="00FB2B15">
        <w:rPr>
          <w:rFonts w:ascii="Arial" w:hAnsi="Arial" w:cs="Arial"/>
        </w:rPr>
        <w:t xml:space="preserve">When looking at dosage schedules for fluorouracil (aka, 5-fluorouracil or 5-FU), when the NCCN describes the administration as “IV bolus” we code this as drug route “IV”, and when NCCN describes as “continuous infusion” we code as drug route “PUMP” </w:t>
      </w:r>
    </w:p>
    <w:p w14:paraId="14C3E888" w14:textId="713FCDAC" w:rsidR="00226FD9" w:rsidRPr="00226FD9" w:rsidRDefault="00226FD9" w:rsidP="00226FD9">
      <w:pPr>
        <w:pStyle w:val="NoSpacing"/>
        <w:numPr>
          <w:ilvl w:val="1"/>
          <w:numId w:val="19"/>
        </w:numPr>
        <w:rPr>
          <w:rFonts w:ascii="Arial" w:hAnsi="Arial" w:cs="Arial"/>
          <w:b/>
        </w:rPr>
      </w:pPr>
      <w:r w:rsidRPr="00FB2B15">
        <w:rPr>
          <w:rFonts w:ascii="Arial" w:hAnsi="Arial" w:cs="Arial"/>
        </w:rPr>
        <w:t>In cases where the drug administration route is “PUMP,” we assume that durations of 48hrs or less would occur with a single continuous infusion. If the duration is longer than 48hrs, then the patient will need to go in to have the pump refilled, and hence we account for an additional billed administration code for “pump refill/maintenance.”</w:t>
      </w:r>
    </w:p>
    <w:p w14:paraId="11CBF51E" w14:textId="5AC34A60" w:rsidR="00842C88" w:rsidRPr="00FB2B15" w:rsidRDefault="00842C88" w:rsidP="00842C88">
      <w:pPr>
        <w:pStyle w:val="NoSpacing"/>
        <w:numPr>
          <w:ilvl w:val="0"/>
          <w:numId w:val="19"/>
        </w:numPr>
        <w:rPr>
          <w:rFonts w:ascii="Arial" w:hAnsi="Arial" w:cs="Arial"/>
          <w:bCs/>
        </w:rPr>
      </w:pPr>
      <w:r w:rsidRPr="00FB2B15">
        <w:rPr>
          <w:rFonts w:ascii="Arial" w:hAnsi="Arial" w:cs="Arial"/>
          <w:bCs/>
        </w:rPr>
        <w:t xml:space="preserve">Administration costs were obtained from the CMS </w:t>
      </w:r>
      <w:hyperlink r:id="rId17" w:history="1">
        <w:r w:rsidRPr="00FB2B15">
          <w:rPr>
            <w:rStyle w:val="Hyperlink"/>
            <w:rFonts w:ascii="Arial" w:hAnsi="Arial" w:cs="Arial"/>
            <w:bCs/>
          </w:rPr>
          <w:t>Physician Fee Schedule search tool</w:t>
        </w:r>
      </w:hyperlink>
      <w:r w:rsidRPr="00FB2B15">
        <w:rPr>
          <w:rFonts w:ascii="Arial" w:hAnsi="Arial" w:cs="Arial"/>
          <w:bCs/>
        </w:rPr>
        <w:t xml:space="preserve">. Prices are updated </w:t>
      </w:r>
      <w:r w:rsidRPr="00FB2B15">
        <w:rPr>
          <w:rFonts w:ascii="Arial" w:hAnsi="Arial" w:cs="Arial"/>
          <w:b/>
        </w:rPr>
        <w:t xml:space="preserve">yearly </w:t>
      </w:r>
      <w:r w:rsidRPr="00FB2B15">
        <w:rPr>
          <w:rFonts w:ascii="Arial" w:hAnsi="Arial" w:cs="Arial"/>
          <w:bCs/>
        </w:rPr>
        <w:t xml:space="preserve">and found using the following selections: </w:t>
      </w:r>
    </w:p>
    <w:p w14:paraId="2BFEFDB9" w14:textId="6661A6AC" w:rsidR="00842C88" w:rsidRPr="00FB2B15" w:rsidRDefault="00842C88" w:rsidP="00842C88">
      <w:pPr>
        <w:pStyle w:val="NoSpacing"/>
        <w:numPr>
          <w:ilvl w:val="1"/>
          <w:numId w:val="19"/>
        </w:numPr>
        <w:rPr>
          <w:rFonts w:ascii="Arial" w:hAnsi="Arial" w:cs="Arial"/>
          <w:bCs/>
        </w:rPr>
      </w:pPr>
      <w:r w:rsidRPr="00FB2B15">
        <w:rPr>
          <w:rFonts w:ascii="Arial" w:hAnsi="Arial" w:cs="Arial"/>
          <w:bCs/>
        </w:rPr>
        <w:t>Type of information: pricing</w:t>
      </w:r>
    </w:p>
    <w:p w14:paraId="4B4400FB" w14:textId="6CA58437" w:rsidR="00842C88" w:rsidRPr="00FB2B15" w:rsidRDefault="00842C88" w:rsidP="00842C88">
      <w:pPr>
        <w:pStyle w:val="NoSpacing"/>
        <w:numPr>
          <w:ilvl w:val="1"/>
          <w:numId w:val="19"/>
        </w:numPr>
        <w:rPr>
          <w:rFonts w:ascii="Arial" w:hAnsi="Arial" w:cs="Arial"/>
          <w:bCs/>
        </w:rPr>
      </w:pPr>
      <w:r w:rsidRPr="00FB2B15">
        <w:rPr>
          <w:rFonts w:ascii="Arial" w:hAnsi="Arial" w:cs="Arial"/>
          <w:bCs/>
        </w:rPr>
        <w:t>HCPCS criteria: single HCPCS code</w:t>
      </w:r>
    </w:p>
    <w:p w14:paraId="24CE35C8" w14:textId="4FB05BBD" w:rsidR="00842C88" w:rsidRPr="00FB2B15" w:rsidRDefault="00842C88" w:rsidP="00842C88">
      <w:pPr>
        <w:pStyle w:val="NoSpacing"/>
        <w:numPr>
          <w:ilvl w:val="1"/>
          <w:numId w:val="19"/>
        </w:numPr>
        <w:rPr>
          <w:rFonts w:ascii="Arial" w:hAnsi="Arial" w:cs="Arial"/>
          <w:bCs/>
        </w:rPr>
      </w:pPr>
      <w:r w:rsidRPr="00FB2B15">
        <w:rPr>
          <w:rFonts w:ascii="Arial" w:hAnsi="Arial" w:cs="Arial"/>
          <w:bCs/>
        </w:rPr>
        <w:t>MAC option: national payment amount</w:t>
      </w:r>
    </w:p>
    <w:p w14:paraId="3BBC30B6" w14:textId="0F946452" w:rsidR="00842C88" w:rsidRPr="00FB2B15" w:rsidRDefault="00842C88" w:rsidP="00842C88">
      <w:pPr>
        <w:pStyle w:val="NoSpacing"/>
        <w:numPr>
          <w:ilvl w:val="1"/>
          <w:numId w:val="19"/>
        </w:numPr>
        <w:rPr>
          <w:rFonts w:ascii="Arial" w:hAnsi="Arial" w:cs="Arial"/>
          <w:bCs/>
        </w:rPr>
      </w:pPr>
      <w:r w:rsidRPr="00FB2B15">
        <w:rPr>
          <w:rFonts w:ascii="Arial" w:hAnsi="Arial" w:cs="Arial"/>
          <w:bCs/>
        </w:rPr>
        <w:t>Modifiers: all modifiers</w:t>
      </w:r>
    </w:p>
    <w:p w14:paraId="4AD9492C" w14:textId="0A17275E" w:rsidR="00930ACD" w:rsidRPr="00FB2B15" w:rsidRDefault="00930ACD" w:rsidP="00842C88">
      <w:pPr>
        <w:pStyle w:val="NoSpacing"/>
        <w:numPr>
          <w:ilvl w:val="1"/>
          <w:numId w:val="19"/>
        </w:numPr>
        <w:rPr>
          <w:rFonts w:ascii="Arial" w:hAnsi="Arial" w:cs="Arial"/>
          <w:b/>
        </w:rPr>
      </w:pPr>
      <w:r w:rsidRPr="00FB2B15">
        <w:rPr>
          <w:rFonts w:ascii="Arial" w:hAnsi="Arial" w:cs="Arial"/>
          <w:bCs/>
        </w:rPr>
        <w:t xml:space="preserve">For each search, we reported the </w:t>
      </w:r>
      <w:r w:rsidRPr="00FB2B15">
        <w:rPr>
          <w:rFonts w:ascii="Arial" w:hAnsi="Arial" w:cs="Arial"/>
          <w:b/>
        </w:rPr>
        <w:t>non-facility price</w:t>
      </w:r>
    </w:p>
    <w:p w14:paraId="6B6D6CE3" w14:textId="35CBD838" w:rsidR="003F3A85" w:rsidRPr="00FB2B15" w:rsidRDefault="003F3A85" w:rsidP="003F3A85">
      <w:pPr>
        <w:pStyle w:val="NoSpacing"/>
        <w:numPr>
          <w:ilvl w:val="0"/>
          <w:numId w:val="19"/>
        </w:numPr>
        <w:rPr>
          <w:rFonts w:ascii="Arial" w:hAnsi="Arial" w:cs="Arial"/>
          <w:bCs/>
        </w:rPr>
      </w:pPr>
      <w:r w:rsidRPr="00FB2B15">
        <w:rPr>
          <w:rFonts w:ascii="Arial" w:hAnsi="Arial" w:cs="Arial"/>
          <w:bCs/>
        </w:rPr>
        <w:t xml:space="preserve">Administration costs for supportive care drugs </w:t>
      </w:r>
      <w:r w:rsidR="009C65AF" w:rsidRPr="00FB2B15">
        <w:rPr>
          <w:rFonts w:ascii="Arial" w:hAnsi="Arial" w:cs="Arial"/>
          <w:bCs/>
        </w:rPr>
        <w:t>we</w:t>
      </w:r>
      <w:r w:rsidRPr="00FB2B15">
        <w:rPr>
          <w:rFonts w:ascii="Arial" w:hAnsi="Arial" w:cs="Arial"/>
          <w:bCs/>
        </w:rPr>
        <w:t>re not included</w:t>
      </w:r>
    </w:p>
    <w:p w14:paraId="4ECBC5E3" w14:textId="7A737093" w:rsidR="00060BD8" w:rsidRDefault="001D3686" w:rsidP="00060BD8">
      <w:pPr>
        <w:pStyle w:val="Heading1"/>
        <w:numPr>
          <w:ilvl w:val="0"/>
          <w:numId w:val="0"/>
        </w:numPr>
        <w:rPr>
          <w:rFonts w:ascii="Arial" w:hAnsi="Arial" w:cs="Arial"/>
          <w:color w:val="auto"/>
          <w:u w:val="single"/>
        </w:rPr>
      </w:pPr>
      <w:bookmarkStart w:id="19" w:name="_Toc194582586"/>
      <w:r w:rsidRPr="00060BD8">
        <w:rPr>
          <w:rFonts w:ascii="Arial" w:hAnsi="Arial" w:cs="Arial"/>
          <w:color w:val="auto"/>
          <w:u w:val="single"/>
        </w:rPr>
        <w:t>Pricing</w:t>
      </w:r>
      <w:bookmarkEnd w:id="19"/>
    </w:p>
    <w:p w14:paraId="193A5B79" w14:textId="77777777" w:rsidR="00060BD8" w:rsidRPr="00060BD8" w:rsidRDefault="00060BD8" w:rsidP="00060BD8">
      <w:pPr>
        <w:numPr>
          <w:ilvl w:val="0"/>
          <w:numId w:val="0"/>
        </w:numPr>
      </w:pPr>
    </w:p>
    <w:p w14:paraId="063C95B3" w14:textId="50ADD6FF" w:rsidR="00310FEC" w:rsidRPr="00FB2B15" w:rsidRDefault="00310FEC" w:rsidP="001D3686">
      <w:pPr>
        <w:pStyle w:val="NoSpacing"/>
        <w:numPr>
          <w:ilvl w:val="0"/>
          <w:numId w:val="11"/>
        </w:numPr>
        <w:rPr>
          <w:rFonts w:ascii="Arial" w:hAnsi="Arial" w:cs="Arial"/>
        </w:rPr>
      </w:pPr>
      <w:bookmarkStart w:id="20" w:name="_Toc194582587"/>
      <w:r w:rsidRPr="0003527C">
        <w:rPr>
          <w:rStyle w:val="Heading2Char"/>
          <w:rFonts w:ascii="Arial" w:hAnsi="Arial" w:cs="Arial"/>
          <w:color w:val="auto"/>
          <w:sz w:val="22"/>
          <w:szCs w:val="22"/>
        </w:rPr>
        <w:t xml:space="preserve">For regimens that have a </w:t>
      </w:r>
      <w:r w:rsidRPr="00594B2A">
        <w:rPr>
          <w:rStyle w:val="Heading2Char"/>
          <w:rFonts w:ascii="Arial" w:hAnsi="Arial" w:cs="Arial"/>
          <w:b/>
          <w:bCs/>
          <w:color w:val="auto"/>
          <w:sz w:val="22"/>
          <w:szCs w:val="22"/>
        </w:rPr>
        <w:t>defined</w:t>
      </w:r>
      <w:r w:rsidRPr="0003527C">
        <w:rPr>
          <w:rStyle w:val="Heading2Char"/>
          <w:rFonts w:ascii="Arial" w:hAnsi="Arial" w:cs="Arial"/>
          <w:color w:val="auto"/>
          <w:sz w:val="22"/>
          <w:szCs w:val="22"/>
        </w:rPr>
        <w:t xml:space="preserve"> t</w:t>
      </w:r>
      <w:r w:rsidR="00760C37" w:rsidRPr="0003527C">
        <w:rPr>
          <w:rStyle w:val="Heading2Char"/>
          <w:rFonts w:ascii="Arial" w:hAnsi="Arial" w:cs="Arial"/>
          <w:color w:val="auto"/>
          <w:sz w:val="22"/>
          <w:szCs w:val="22"/>
        </w:rPr>
        <w:t>reatment</w:t>
      </w:r>
      <w:r w:rsidRPr="0003527C">
        <w:rPr>
          <w:rStyle w:val="Heading2Char"/>
          <w:rFonts w:ascii="Arial" w:hAnsi="Arial" w:cs="Arial"/>
          <w:color w:val="auto"/>
          <w:sz w:val="22"/>
          <w:szCs w:val="22"/>
        </w:rPr>
        <w:t xml:space="preserve"> course</w:t>
      </w:r>
      <w:r w:rsidR="00266869" w:rsidRPr="0003527C">
        <w:rPr>
          <w:rStyle w:val="Heading2Char"/>
          <w:rFonts w:ascii="Arial" w:hAnsi="Arial" w:cs="Arial"/>
          <w:color w:val="auto"/>
          <w:sz w:val="22"/>
          <w:szCs w:val="22"/>
        </w:rPr>
        <w:t xml:space="preserve"> (time limited)</w:t>
      </w:r>
      <w:bookmarkEnd w:id="20"/>
      <w:r w:rsidRPr="00FB2B15">
        <w:rPr>
          <w:rFonts w:ascii="Arial" w:hAnsi="Arial" w:cs="Arial"/>
        </w:rPr>
        <w:t>, calculate costs over the planned duration of therapy</w:t>
      </w:r>
    </w:p>
    <w:p w14:paraId="5D47B523" w14:textId="09611A22" w:rsidR="00310FEC" w:rsidRPr="00FB2B15" w:rsidRDefault="00310FEC" w:rsidP="001D3686">
      <w:pPr>
        <w:pStyle w:val="NoSpacing"/>
        <w:numPr>
          <w:ilvl w:val="0"/>
          <w:numId w:val="11"/>
        </w:numPr>
        <w:rPr>
          <w:rFonts w:ascii="Arial" w:hAnsi="Arial" w:cs="Arial"/>
        </w:rPr>
      </w:pPr>
      <w:bookmarkStart w:id="21" w:name="_Toc194582588"/>
      <w:r w:rsidRPr="0003527C">
        <w:rPr>
          <w:rStyle w:val="Heading2Char"/>
          <w:rFonts w:ascii="Arial" w:hAnsi="Arial" w:cs="Arial"/>
          <w:color w:val="auto"/>
          <w:sz w:val="22"/>
          <w:szCs w:val="22"/>
        </w:rPr>
        <w:t xml:space="preserve">For regimens that have </w:t>
      </w:r>
      <w:r w:rsidR="00840FEF" w:rsidRPr="0003527C">
        <w:rPr>
          <w:rStyle w:val="Heading2Char"/>
          <w:rFonts w:ascii="Arial" w:hAnsi="Arial" w:cs="Arial"/>
          <w:color w:val="auto"/>
          <w:sz w:val="22"/>
          <w:szCs w:val="22"/>
        </w:rPr>
        <w:t>an</w:t>
      </w:r>
      <w:r w:rsidRPr="0003527C">
        <w:rPr>
          <w:rStyle w:val="Heading2Char"/>
          <w:rFonts w:ascii="Arial" w:hAnsi="Arial" w:cs="Arial"/>
          <w:color w:val="auto"/>
          <w:sz w:val="22"/>
          <w:szCs w:val="22"/>
        </w:rPr>
        <w:t xml:space="preserve"> undefined treatment</w:t>
      </w:r>
      <w:r w:rsidR="00266869" w:rsidRPr="0003527C">
        <w:rPr>
          <w:rStyle w:val="Heading2Char"/>
          <w:rFonts w:ascii="Arial" w:hAnsi="Arial" w:cs="Arial"/>
          <w:color w:val="auto"/>
          <w:sz w:val="22"/>
          <w:szCs w:val="22"/>
        </w:rPr>
        <w:t xml:space="preserve"> (time unlimited)</w:t>
      </w:r>
      <w:bookmarkEnd w:id="21"/>
      <w:r w:rsidRPr="00FB2B15">
        <w:rPr>
          <w:rFonts w:ascii="Arial" w:hAnsi="Arial" w:cs="Arial"/>
        </w:rPr>
        <w:t>, calculate anticipated costs over the first year of therapy</w:t>
      </w:r>
      <w:r w:rsidR="00760C37" w:rsidRPr="00FB2B15">
        <w:rPr>
          <w:rFonts w:ascii="Arial" w:hAnsi="Arial" w:cs="Arial"/>
        </w:rPr>
        <w:t xml:space="preserve"> and divide to get monthly price</w:t>
      </w:r>
    </w:p>
    <w:p w14:paraId="19D49A38" w14:textId="71F84DA2" w:rsidR="00310FEC" w:rsidRDefault="00310FEC" w:rsidP="001D3686">
      <w:pPr>
        <w:pStyle w:val="NoSpacing"/>
        <w:numPr>
          <w:ilvl w:val="0"/>
          <w:numId w:val="11"/>
        </w:numPr>
        <w:rPr>
          <w:rFonts w:ascii="Arial" w:hAnsi="Arial" w:cs="Arial"/>
        </w:rPr>
      </w:pPr>
      <w:bookmarkStart w:id="22" w:name="_Toc194582589"/>
      <w:r w:rsidRPr="00230BAB">
        <w:rPr>
          <w:rStyle w:val="Heading2Char"/>
          <w:rFonts w:ascii="Arial" w:hAnsi="Arial" w:cs="Arial"/>
          <w:color w:val="auto"/>
          <w:sz w:val="22"/>
          <w:szCs w:val="22"/>
        </w:rPr>
        <w:t>For regimens with both defined and undefined components</w:t>
      </w:r>
      <w:bookmarkEnd w:id="22"/>
      <w:r w:rsidRPr="00230BAB">
        <w:rPr>
          <w:rFonts w:ascii="Arial" w:hAnsi="Arial" w:cs="Arial"/>
        </w:rPr>
        <w:t xml:space="preserve"> </w:t>
      </w:r>
      <w:r w:rsidRPr="00FB2B15">
        <w:rPr>
          <w:rFonts w:ascii="Arial" w:hAnsi="Arial" w:cs="Arial"/>
        </w:rPr>
        <w:t>(</w:t>
      </w:r>
      <w:r w:rsidR="008363B5" w:rsidRPr="00FB2B15">
        <w:rPr>
          <w:rFonts w:ascii="Arial" w:hAnsi="Arial" w:cs="Arial"/>
        </w:rPr>
        <w:t>e.g.</w:t>
      </w:r>
      <w:r w:rsidRPr="00FB2B15">
        <w:rPr>
          <w:rFonts w:ascii="Arial" w:hAnsi="Arial" w:cs="Arial"/>
        </w:rPr>
        <w:t xml:space="preserve">, </w:t>
      </w:r>
      <w:r w:rsidR="004A4C4E" w:rsidRPr="00FB2B15">
        <w:rPr>
          <w:rFonts w:ascii="Arial" w:hAnsi="Arial" w:cs="Arial"/>
        </w:rPr>
        <w:t>one drug that is given for a short duration and another drug is given for a longer period, or “dose escalating” regimens where the initial administrations of a drug are given at a lower dose</w:t>
      </w:r>
      <w:r w:rsidRPr="00FB2B15">
        <w:rPr>
          <w:rFonts w:ascii="Arial" w:hAnsi="Arial" w:cs="Arial"/>
        </w:rPr>
        <w:t xml:space="preserve">), </w:t>
      </w:r>
      <w:r w:rsidR="004A4C4E" w:rsidRPr="00FB2B15">
        <w:rPr>
          <w:rFonts w:ascii="Arial" w:hAnsi="Arial" w:cs="Arial"/>
        </w:rPr>
        <w:t xml:space="preserve">we typically code these regimens as </w:t>
      </w:r>
      <w:r w:rsidR="004A4C4E" w:rsidRPr="00303D30">
        <w:rPr>
          <w:rFonts w:ascii="Arial" w:hAnsi="Arial" w:cs="Arial"/>
          <w:b/>
          <w:bCs/>
        </w:rPr>
        <w:t>undefined</w:t>
      </w:r>
      <w:r w:rsidR="004A4C4E" w:rsidRPr="00FB2B15">
        <w:rPr>
          <w:rFonts w:ascii="Arial" w:hAnsi="Arial" w:cs="Arial"/>
        </w:rPr>
        <w:t xml:space="preserve"> (regimen type = 1). In these cases, we </w:t>
      </w:r>
      <w:r w:rsidRPr="00FB2B15">
        <w:rPr>
          <w:rFonts w:ascii="Arial" w:hAnsi="Arial" w:cs="Arial"/>
        </w:rPr>
        <w:t xml:space="preserve">calculate </w:t>
      </w:r>
      <w:r w:rsidR="004A4C4E" w:rsidRPr="00FB2B15">
        <w:rPr>
          <w:rFonts w:ascii="Arial" w:hAnsi="Arial" w:cs="Arial"/>
        </w:rPr>
        <w:t xml:space="preserve">the </w:t>
      </w:r>
      <w:r w:rsidRPr="00FB2B15">
        <w:rPr>
          <w:rFonts w:ascii="Arial" w:hAnsi="Arial" w:cs="Arial"/>
        </w:rPr>
        <w:t>anticipated costs over first year of therapy, including the time-limited portion</w:t>
      </w:r>
      <w:r w:rsidR="004A4C4E" w:rsidRPr="00FB2B15">
        <w:rPr>
          <w:rFonts w:ascii="Arial" w:hAnsi="Arial" w:cs="Arial"/>
        </w:rPr>
        <w:t xml:space="preserve">, and then divide by 12 to calculate the </w:t>
      </w:r>
      <w:r w:rsidR="004A4C4E" w:rsidRPr="00303D30">
        <w:rPr>
          <w:rFonts w:ascii="Arial" w:hAnsi="Arial" w:cs="Arial"/>
          <w:u w:val="single"/>
        </w:rPr>
        <w:t>average monthly cost during the first year of therapy</w:t>
      </w:r>
      <w:r w:rsidR="004A4C4E" w:rsidRPr="00FB2B15">
        <w:rPr>
          <w:rFonts w:ascii="Arial" w:hAnsi="Arial" w:cs="Arial"/>
        </w:rPr>
        <w:t xml:space="preserve">. </w:t>
      </w:r>
    </w:p>
    <w:p w14:paraId="74DA00D9" w14:textId="274C27CF" w:rsidR="00372C7A" w:rsidRPr="00FB2B15" w:rsidRDefault="00372C7A" w:rsidP="001D3686">
      <w:pPr>
        <w:pStyle w:val="NoSpacing"/>
        <w:numPr>
          <w:ilvl w:val="0"/>
          <w:numId w:val="11"/>
        </w:numPr>
        <w:rPr>
          <w:rFonts w:ascii="Arial" w:hAnsi="Arial" w:cs="Arial"/>
        </w:rPr>
      </w:pPr>
      <w:bookmarkStart w:id="23" w:name="_Toc194582590"/>
      <w:r w:rsidRPr="00230BAB">
        <w:rPr>
          <w:rStyle w:val="Heading2Char"/>
          <w:rFonts w:ascii="Arial" w:hAnsi="Arial" w:cs="Arial"/>
          <w:color w:val="auto"/>
          <w:sz w:val="22"/>
          <w:szCs w:val="22"/>
        </w:rPr>
        <w:t>In cases where one or more drugs from the original regimen could be continued as maintenance therapy</w:t>
      </w:r>
      <w:bookmarkEnd w:id="23"/>
      <w:r>
        <w:rPr>
          <w:rFonts w:ascii="Arial" w:hAnsi="Arial" w:cs="Arial"/>
        </w:rPr>
        <w:t xml:space="preserve">, we typically code these regimens as defined/time-limited for the specified number of cycles, and code (and price) the maintenance portion as a separate regimen. </w:t>
      </w:r>
    </w:p>
    <w:p w14:paraId="578B70B1" w14:textId="216B1A0C" w:rsidR="009320D6" w:rsidRPr="00FB2B15" w:rsidRDefault="00EB5081" w:rsidP="009320D6">
      <w:pPr>
        <w:pStyle w:val="NoSpacing"/>
        <w:numPr>
          <w:ilvl w:val="0"/>
          <w:numId w:val="11"/>
        </w:numPr>
        <w:rPr>
          <w:rFonts w:ascii="Arial" w:hAnsi="Arial" w:cs="Arial"/>
        </w:rPr>
      </w:pPr>
      <w:r w:rsidRPr="00FB2B15">
        <w:rPr>
          <w:rFonts w:ascii="Arial" w:hAnsi="Arial" w:cs="Arial"/>
        </w:rPr>
        <w:t>In cases where the NCCN guidelines named a class of drugs (e.g., “aromatase inhibitor”) rather than a specific drug, use the cheapest option within the class in current use in the US</w:t>
      </w:r>
    </w:p>
    <w:p w14:paraId="6D11BA3B" w14:textId="5277E815" w:rsidR="007245E1" w:rsidRPr="00FB2B15" w:rsidRDefault="009320D6" w:rsidP="007245E1">
      <w:pPr>
        <w:pStyle w:val="NoSpacing"/>
        <w:numPr>
          <w:ilvl w:val="0"/>
          <w:numId w:val="11"/>
        </w:numPr>
        <w:rPr>
          <w:rFonts w:ascii="Arial" w:hAnsi="Arial" w:cs="Arial"/>
        </w:rPr>
      </w:pPr>
      <w:bookmarkStart w:id="24" w:name="_Toc194582591"/>
      <w:r w:rsidRPr="00230BAB">
        <w:rPr>
          <w:rStyle w:val="Heading2Char"/>
          <w:rFonts w:ascii="Arial" w:hAnsi="Arial" w:cs="Arial"/>
          <w:color w:val="auto"/>
          <w:sz w:val="22"/>
          <w:szCs w:val="22"/>
        </w:rPr>
        <w:t>Price extraction notes</w:t>
      </w:r>
      <w:bookmarkEnd w:id="24"/>
      <w:r w:rsidRPr="00FB2B15">
        <w:rPr>
          <w:rFonts w:ascii="Arial" w:hAnsi="Arial" w:cs="Arial"/>
        </w:rPr>
        <w:t>:</w:t>
      </w:r>
    </w:p>
    <w:p w14:paraId="5D0F5EFE" w14:textId="10D93297" w:rsidR="00426566" w:rsidRPr="00FB2B15" w:rsidRDefault="00426566" w:rsidP="00426566">
      <w:pPr>
        <w:pStyle w:val="NoSpacing"/>
        <w:numPr>
          <w:ilvl w:val="1"/>
          <w:numId w:val="11"/>
        </w:numPr>
        <w:rPr>
          <w:rFonts w:ascii="Arial" w:hAnsi="Arial" w:cs="Arial"/>
        </w:rPr>
      </w:pPr>
      <w:r w:rsidRPr="00FB2B15">
        <w:rPr>
          <w:rFonts w:ascii="Arial" w:hAnsi="Arial" w:cs="Arial"/>
        </w:rPr>
        <w:t xml:space="preserve">We </w:t>
      </w:r>
      <w:r w:rsidR="004A4C4E" w:rsidRPr="00FB2B15">
        <w:rPr>
          <w:rFonts w:ascii="Arial" w:hAnsi="Arial" w:cs="Arial"/>
        </w:rPr>
        <w:t xml:space="preserve">use </w:t>
      </w:r>
      <w:r w:rsidRPr="00FB2B15">
        <w:rPr>
          <w:rFonts w:ascii="Arial" w:hAnsi="Arial" w:cs="Arial"/>
        </w:rPr>
        <w:t>prices that were active as of January or July 1</w:t>
      </w:r>
      <w:r w:rsidRPr="00FB2B15">
        <w:rPr>
          <w:rFonts w:ascii="Arial" w:hAnsi="Arial" w:cs="Arial"/>
          <w:vertAlign w:val="superscript"/>
        </w:rPr>
        <w:t>st</w:t>
      </w:r>
      <w:r w:rsidR="004A4C4E" w:rsidRPr="00FB2B15">
        <w:rPr>
          <w:rFonts w:ascii="Arial" w:hAnsi="Arial" w:cs="Arial"/>
        </w:rPr>
        <w:t>, corresponding to the same date on which the NCCN guidelines are downloaded</w:t>
      </w:r>
      <w:r w:rsidR="00256241" w:rsidRPr="00FB2B15">
        <w:rPr>
          <w:rFonts w:ascii="Arial" w:hAnsi="Arial" w:cs="Arial"/>
        </w:rPr>
        <w:t xml:space="preserve"> </w:t>
      </w:r>
    </w:p>
    <w:p w14:paraId="2B13D3D0" w14:textId="178ABAC5" w:rsidR="007245E1" w:rsidRPr="00FB2B15" w:rsidRDefault="007245E1" w:rsidP="007245E1">
      <w:pPr>
        <w:pStyle w:val="NoSpacing"/>
        <w:numPr>
          <w:ilvl w:val="1"/>
          <w:numId w:val="11"/>
        </w:numPr>
        <w:rPr>
          <w:rFonts w:ascii="Arial" w:hAnsi="Arial" w:cs="Arial"/>
        </w:rPr>
      </w:pPr>
      <w:r w:rsidRPr="005C2D7E">
        <w:rPr>
          <w:rFonts w:ascii="Arial" w:hAnsi="Arial" w:cs="Arial"/>
          <w:b/>
          <w:bCs/>
        </w:rPr>
        <w:t>Part B</w:t>
      </w:r>
      <w:r w:rsidRPr="00FB2B15">
        <w:rPr>
          <w:rFonts w:ascii="Arial" w:hAnsi="Arial" w:cs="Arial"/>
        </w:rPr>
        <w:t xml:space="preserve"> drug prices are </w:t>
      </w:r>
      <w:r w:rsidR="00D16D8E">
        <w:rPr>
          <w:rFonts w:ascii="Arial" w:hAnsi="Arial" w:cs="Arial"/>
        </w:rPr>
        <w:t>obtained</w:t>
      </w:r>
      <w:r w:rsidRPr="00FB2B15">
        <w:rPr>
          <w:rFonts w:ascii="Arial" w:hAnsi="Arial" w:cs="Arial"/>
        </w:rPr>
        <w:t xml:space="preserve"> from </w:t>
      </w:r>
      <w:r w:rsidR="004A4C4E" w:rsidRPr="00FB2B15">
        <w:rPr>
          <w:rFonts w:ascii="Arial" w:hAnsi="Arial" w:cs="Arial"/>
        </w:rPr>
        <w:t xml:space="preserve">CMS </w:t>
      </w:r>
      <w:r w:rsidRPr="00FB2B15">
        <w:rPr>
          <w:rFonts w:ascii="Arial" w:hAnsi="Arial" w:cs="Arial"/>
        </w:rPr>
        <w:t>ASP</w:t>
      </w:r>
      <w:r w:rsidR="004A4C4E" w:rsidRPr="00FB2B15">
        <w:rPr>
          <w:rFonts w:ascii="Arial" w:hAnsi="Arial" w:cs="Arial"/>
        </w:rPr>
        <w:t xml:space="preserve"> file</w:t>
      </w:r>
    </w:p>
    <w:p w14:paraId="03D3BBE9" w14:textId="77777777" w:rsidR="00D16D8E" w:rsidRDefault="007C6D25" w:rsidP="005C2D7E">
      <w:pPr>
        <w:pStyle w:val="NoSpacing"/>
        <w:numPr>
          <w:ilvl w:val="2"/>
          <w:numId w:val="11"/>
        </w:numPr>
        <w:rPr>
          <w:rFonts w:ascii="Arial" w:hAnsi="Arial" w:cs="Arial"/>
        </w:rPr>
      </w:pPr>
      <w:r w:rsidRPr="00FB2B15">
        <w:rPr>
          <w:rFonts w:ascii="Arial" w:hAnsi="Arial" w:cs="Arial"/>
        </w:rPr>
        <w:lastRenderedPageBreak/>
        <w:t xml:space="preserve">For Part B drugs without </w:t>
      </w:r>
      <w:r w:rsidR="00D16D8E">
        <w:rPr>
          <w:rFonts w:ascii="Arial" w:hAnsi="Arial" w:cs="Arial"/>
        </w:rPr>
        <w:t xml:space="preserve">an </w:t>
      </w:r>
      <w:r w:rsidRPr="00FB2B15">
        <w:rPr>
          <w:rFonts w:ascii="Arial" w:hAnsi="Arial" w:cs="Arial"/>
        </w:rPr>
        <w:t>available ASP</w:t>
      </w:r>
      <w:r w:rsidR="00D16D8E">
        <w:rPr>
          <w:rFonts w:ascii="Arial" w:hAnsi="Arial" w:cs="Arial"/>
        </w:rPr>
        <w:t xml:space="preserve"> at a given time point</w:t>
      </w:r>
      <w:r w:rsidRPr="00FB2B15">
        <w:rPr>
          <w:rFonts w:ascii="Arial" w:hAnsi="Arial" w:cs="Arial"/>
        </w:rPr>
        <w:t xml:space="preserve">, </w:t>
      </w:r>
      <w:r w:rsidR="00D16D8E">
        <w:rPr>
          <w:rFonts w:ascii="Arial" w:hAnsi="Arial" w:cs="Arial"/>
        </w:rPr>
        <w:t xml:space="preserve">our source hierarchy for price data was: </w:t>
      </w:r>
    </w:p>
    <w:p w14:paraId="3B384B3E" w14:textId="63EB3B9F" w:rsidR="005C2D7E" w:rsidRPr="00FB2B15" w:rsidRDefault="00DA294A" w:rsidP="005C2D7E">
      <w:pPr>
        <w:pStyle w:val="NoSpacing"/>
        <w:numPr>
          <w:ilvl w:val="2"/>
          <w:numId w:val="11"/>
        </w:numPr>
        <w:rPr>
          <w:rFonts w:ascii="Arial" w:hAnsi="Arial" w:cs="Arial"/>
        </w:rPr>
      </w:pPr>
      <w:r>
        <w:rPr>
          <w:rFonts w:ascii="Arial" w:hAnsi="Arial" w:cs="Arial"/>
        </w:rPr>
        <w:t>1</w:t>
      </w:r>
      <w:r w:rsidR="005C2D7E">
        <w:rPr>
          <w:rFonts w:ascii="Arial" w:hAnsi="Arial" w:cs="Arial"/>
        </w:rPr>
        <w:t xml:space="preserve">) Future ASP prices </w:t>
      </w:r>
    </w:p>
    <w:p w14:paraId="22CDA2A1" w14:textId="5ED88554" w:rsidR="00FE2D23" w:rsidRPr="00FB2B15" w:rsidRDefault="00FE2D23" w:rsidP="005C2D7E">
      <w:pPr>
        <w:pStyle w:val="NoSpacing"/>
        <w:numPr>
          <w:ilvl w:val="3"/>
          <w:numId w:val="11"/>
        </w:numPr>
        <w:rPr>
          <w:rFonts w:ascii="Arial" w:hAnsi="Arial" w:cs="Arial"/>
        </w:rPr>
      </w:pPr>
      <w:r w:rsidRPr="00FB2B15">
        <w:rPr>
          <w:rFonts w:ascii="Arial" w:hAnsi="Arial" w:cs="Arial"/>
        </w:rPr>
        <w:t>This would</w:t>
      </w:r>
      <w:r w:rsidR="005C2D7E">
        <w:rPr>
          <w:rFonts w:ascii="Arial" w:hAnsi="Arial" w:cs="Arial"/>
        </w:rPr>
        <w:t xml:space="preserve"> typically</w:t>
      </w:r>
      <w:r w:rsidRPr="00FB2B15">
        <w:rPr>
          <w:rFonts w:ascii="Arial" w:hAnsi="Arial" w:cs="Arial"/>
        </w:rPr>
        <w:t xml:space="preserve"> apply to newly</w:t>
      </w:r>
      <w:r w:rsidR="005C2D7E">
        <w:rPr>
          <w:rFonts w:ascii="Arial" w:hAnsi="Arial" w:cs="Arial"/>
        </w:rPr>
        <w:t>-</w:t>
      </w:r>
      <w:r w:rsidRPr="00FB2B15">
        <w:rPr>
          <w:rFonts w:ascii="Arial" w:hAnsi="Arial" w:cs="Arial"/>
        </w:rPr>
        <w:t>approved physician</w:t>
      </w:r>
      <w:r w:rsidR="005C2D7E">
        <w:rPr>
          <w:rFonts w:ascii="Arial" w:hAnsi="Arial" w:cs="Arial"/>
        </w:rPr>
        <w:t xml:space="preserve"> </w:t>
      </w:r>
      <w:r w:rsidRPr="00FB2B15">
        <w:rPr>
          <w:rFonts w:ascii="Arial" w:hAnsi="Arial" w:cs="Arial"/>
        </w:rPr>
        <w:t xml:space="preserve">administered drugs, as there is a two-quarter lag </w:t>
      </w:r>
      <w:r w:rsidR="005C2D7E">
        <w:rPr>
          <w:rFonts w:ascii="Arial" w:hAnsi="Arial" w:cs="Arial"/>
        </w:rPr>
        <w:t>until</w:t>
      </w:r>
      <w:r w:rsidRPr="00FB2B15">
        <w:rPr>
          <w:rFonts w:ascii="Arial" w:hAnsi="Arial" w:cs="Arial"/>
        </w:rPr>
        <w:t xml:space="preserve"> CMS</w:t>
      </w:r>
      <w:r w:rsidR="005C2D7E">
        <w:rPr>
          <w:rFonts w:ascii="Arial" w:hAnsi="Arial" w:cs="Arial"/>
        </w:rPr>
        <w:t xml:space="preserve"> can report ASP</w:t>
      </w:r>
    </w:p>
    <w:p w14:paraId="143382FF" w14:textId="101F66AF" w:rsidR="00DA294A" w:rsidRPr="00FB2B15" w:rsidRDefault="00DA294A" w:rsidP="00DA294A">
      <w:pPr>
        <w:pStyle w:val="NoSpacing"/>
        <w:numPr>
          <w:ilvl w:val="2"/>
          <w:numId w:val="11"/>
        </w:numPr>
        <w:rPr>
          <w:rFonts w:ascii="Arial" w:hAnsi="Arial" w:cs="Arial"/>
        </w:rPr>
      </w:pPr>
      <w:r>
        <w:rPr>
          <w:rFonts w:ascii="Arial" w:hAnsi="Arial" w:cs="Arial"/>
        </w:rPr>
        <w:t xml:space="preserve">2) Contemporary </w:t>
      </w:r>
      <w:r w:rsidRPr="00FB2B15">
        <w:rPr>
          <w:rFonts w:ascii="Arial" w:hAnsi="Arial" w:cs="Arial"/>
        </w:rPr>
        <w:t>WAC prices</w:t>
      </w:r>
      <w:r>
        <w:rPr>
          <w:rFonts w:ascii="Arial" w:hAnsi="Arial" w:cs="Arial"/>
        </w:rPr>
        <w:t>,</w:t>
      </w:r>
      <w:r w:rsidRPr="00FB2B15">
        <w:rPr>
          <w:rFonts w:ascii="Arial" w:hAnsi="Arial" w:cs="Arial"/>
        </w:rPr>
        <w:t xml:space="preserve"> from Redbook</w:t>
      </w:r>
      <w:r>
        <w:rPr>
          <w:rFonts w:ascii="Arial" w:hAnsi="Arial" w:cs="Arial"/>
        </w:rPr>
        <w:t>.</w:t>
      </w:r>
    </w:p>
    <w:p w14:paraId="73796C0F" w14:textId="0B67989B" w:rsidR="00DA294A" w:rsidRPr="004C5C72" w:rsidRDefault="00DA294A" w:rsidP="004C5C72">
      <w:pPr>
        <w:pStyle w:val="NoSpacing"/>
        <w:numPr>
          <w:ilvl w:val="2"/>
          <w:numId w:val="11"/>
        </w:numPr>
        <w:rPr>
          <w:rFonts w:ascii="Arial" w:hAnsi="Arial" w:cs="Arial"/>
        </w:rPr>
      </w:pPr>
      <w:r>
        <w:rPr>
          <w:rFonts w:ascii="Arial" w:hAnsi="Arial" w:cs="Arial"/>
        </w:rPr>
        <w:t>3) Nearest available (temporally) h</w:t>
      </w:r>
      <w:r w:rsidRPr="00FB2B15">
        <w:rPr>
          <w:rFonts w:ascii="Arial" w:hAnsi="Arial" w:cs="Arial"/>
        </w:rPr>
        <w:t>istoric WAC</w:t>
      </w:r>
      <w:r>
        <w:rPr>
          <w:rFonts w:ascii="Arial" w:hAnsi="Arial" w:cs="Arial"/>
        </w:rPr>
        <w:t xml:space="preserve"> prices </w:t>
      </w:r>
    </w:p>
    <w:p w14:paraId="4E2D37B7" w14:textId="4825F6CA" w:rsidR="00311DCC" w:rsidRDefault="005C2D7E" w:rsidP="005C2D7E">
      <w:pPr>
        <w:pStyle w:val="NoSpacing"/>
        <w:numPr>
          <w:ilvl w:val="2"/>
          <w:numId w:val="11"/>
        </w:numPr>
        <w:rPr>
          <w:rFonts w:ascii="Arial" w:hAnsi="Arial" w:cs="Arial"/>
        </w:rPr>
      </w:pPr>
      <w:r>
        <w:rPr>
          <w:rFonts w:ascii="Arial" w:hAnsi="Arial" w:cs="Arial"/>
        </w:rPr>
        <w:t xml:space="preserve">4) </w:t>
      </w:r>
      <w:r w:rsidRPr="00FB2B15">
        <w:rPr>
          <w:rFonts w:ascii="Arial" w:hAnsi="Arial" w:cs="Arial"/>
        </w:rPr>
        <w:t>Press releases</w:t>
      </w:r>
      <w:r>
        <w:rPr>
          <w:rFonts w:ascii="Arial" w:hAnsi="Arial" w:cs="Arial"/>
        </w:rPr>
        <w:t xml:space="preserve"> with mention of drug price</w:t>
      </w:r>
    </w:p>
    <w:p w14:paraId="73433C51" w14:textId="5E60569E" w:rsidR="005C2D7E" w:rsidRDefault="005C2D7E" w:rsidP="005C2D7E">
      <w:pPr>
        <w:pStyle w:val="NoSpacing"/>
        <w:numPr>
          <w:ilvl w:val="2"/>
          <w:numId w:val="11"/>
        </w:numPr>
        <w:rPr>
          <w:rFonts w:ascii="Arial" w:hAnsi="Arial" w:cs="Arial"/>
        </w:rPr>
      </w:pPr>
      <w:r>
        <w:rPr>
          <w:rFonts w:ascii="Arial" w:hAnsi="Arial" w:cs="Arial"/>
        </w:rPr>
        <w:t xml:space="preserve">5) Peer-reviewed research studies mentioning drug price </w:t>
      </w:r>
    </w:p>
    <w:p w14:paraId="662F988E" w14:textId="5B7B6E26" w:rsidR="00DA294A" w:rsidRPr="00FB2B15" w:rsidRDefault="00DA294A" w:rsidP="005C2D7E">
      <w:pPr>
        <w:pStyle w:val="NoSpacing"/>
        <w:numPr>
          <w:ilvl w:val="2"/>
          <w:numId w:val="11"/>
        </w:numPr>
        <w:rPr>
          <w:rFonts w:ascii="Arial" w:hAnsi="Arial" w:cs="Arial"/>
        </w:rPr>
      </w:pPr>
      <w:r>
        <w:rPr>
          <w:rFonts w:ascii="Arial" w:hAnsi="Arial" w:cs="Arial"/>
        </w:rPr>
        <w:t xml:space="preserve">Drugs with no available pricing data were excluded (‘1’ entered in the Exclude column) </w:t>
      </w:r>
    </w:p>
    <w:p w14:paraId="575659F1" w14:textId="77777777" w:rsidR="005C2D7E" w:rsidRDefault="005C2D7E" w:rsidP="005C2D7E">
      <w:pPr>
        <w:pStyle w:val="NoSpacing"/>
        <w:ind w:left="1080"/>
        <w:rPr>
          <w:rFonts w:ascii="Arial" w:hAnsi="Arial" w:cs="Arial"/>
        </w:rPr>
      </w:pPr>
    </w:p>
    <w:p w14:paraId="47529B50" w14:textId="1F067F82" w:rsidR="007245E1" w:rsidRPr="00FB2B15" w:rsidRDefault="007245E1" w:rsidP="007245E1">
      <w:pPr>
        <w:pStyle w:val="NoSpacing"/>
        <w:numPr>
          <w:ilvl w:val="1"/>
          <w:numId w:val="11"/>
        </w:numPr>
        <w:rPr>
          <w:rFonts w:ascii="Arial" w:hAnsi="Arial" w:cs="Arial"/>
        </w:rPr>
      </w:pPr>
      <w:r w:rsidRPr="005C2D7E">
        <w:rPr>
          <w:rFonts w:ascii="Arial" w:hAnsi="Arial" w:cs="Arial"/>
          <w:b/>
          <w:bCs/>
        </w:rPr>
        <w:t>Part D</w:t>
      </w:r>
      <w:r w:rsidRPr="00FB2B15">
        <w:rPr>
          <w:rFonts w:ascii="Arial" w:hAnsi="Arial" w:cs="Arial"/>
        </w:rPr>
        <w:t xml:space="preserve"> drug prices are pulled from historic WAC </w:t>
      </w:r>
      <w:r w:rsidR="00083FFF" w:rsidRPr="00FB2B15">
        <w:rPr>
          <w:rFonts w:ascii="Arial" w:hAnsi="Arial" w:cs="Arial"/>
        </w:rPr>
        <w:t>from Redbook</w:t>
      </w:r>
    </w:p>
    <w:p w14:paraId="7F4B0C20" w14:textId="44023D83" w:rsidR="007245E1" w:rsidRPr="00FB2B15" w:rsidRDefault="007245E1" w:rsidP="007245E1">
      <w:pPr>
        <w:pStyle w:val="NoSpacing"/>
        <w:numPr>
          <w:ilvl w:val="2"/>
          <w:numId w:val="11"/>
        </w:numPr>
        <w:rPr>
          <w:rFonts w:ascii="Arial" w:hAnsi="Arial" w:cs="Arial"/>
        </w:rPr>
      </w:pPr>
      <w:r w:rsidRPr="00FB2B15">
        <w:rPr>
          <w:rFonts w:ascii="Arial" w:hAnsi="Arial" w:cs="Arial"/>
        </w:rPr>
        <w:t>For drugs with no generic</w:t>
      </w:r>
      <w:r w:rsidR="005C2D7E">
        <w:rPr>
          <w:rFonts w:ascii="Arial" w:hAnsi="Arial" w:cs="Arial"/>
        </w:rPr>
        <w:t xml:space="preserve"> versions</w:t>
      </w:r>
      <w:r w:rsidRPr="00FB2B15">
        <w:rPr>
          <w:rFonts w:ascii="Arial" w:hAnsi="Arial" w:cs="Arial"/>
        </w:rPr>
        <w:t xml:space="preserve">, </w:t>
      </w:r>
      <w:r w:rsidR="005C2D7E">
        <w:rPr>
          <w:rFonts w:ascii="Arial" w:hAnsi="Arial" w:cs="Arial"/>
        </w:rPr>
        <w:t xml:space="preserve">we </w:t>
      </w:r>
      <w:r w:rsidRPr="00FB2B15">
        <w:rPr>
          <w:rFonts w:ascii="Arial" w:hAnsi="Arial" w:cs="Arial"/>
        </w:rPr>
        <w:t>extract</w:t>
      </w:r>
      <w:r w:rsidR="005C2D7E">
        <w:rPr>
          <w:rFonts w:ascii="Arial" w:hAnsi="Arial" w:cs="Arial"/>
        </w:rPr>
        <w:t>ed</w:t>
      </w:r>
      <w:r w:rsidRPr="00FB2B15">
        <w:rPr>
          <w:rFonts w:ascii="Arial" w:hAnsi="Arial" w:cs="Arial"/>
        </w:rPr>
        <w:t xml:space="preserve"> the WAC price f</w:t>
      </w:r>
      <w:r w:rsidR="005C2D7E">
        <w:rPr>
          <w:rFonts w:ascii="Arial" w:hAnsi="Arial" w:cs="Arial"/>
        </w:rPr>
        <w:t>or</w:t>
      </w:r>
      <w:r w:rsidRPr="00FB2B15">
        <w:rPr>
          <w:rFonts w:ascii="Arial" w:hAnsi="Arial" w:cs="Arial"/>
        </w:rPr>
        <w:t xml:space="preserve"> the NDC with the highest strength (leading to the lowest per mg price)</w:t>
      </w:r>
    </w:p>
    <w:p w14:paraId="11913DD4" w14:textId="0C422C7D" w:rsidR="00C03633" w:rsidRPr="00FB2B15" w:rsidRDefault="00107501" w:rsidP="00C03633">
      <w:pPr>
        <w:pStyle w:val="NoSpacing"/>
        <w:numPr>
          <w:ilvl w:val="3"/>
          <w:numId w:val="11"/>
        </w:numPr>
        <w:rPr>
          <w:rFonts w:ascii="Arial" w:hAnsi="Arial" w:cs="Arial"/>
        </w:rPr>
      </w:pPr>
      <w:r w:rsidRPr="00FB2B15">
        <w:rPr>
          <w:rFonts w:ascii="Arial" w:hAnsi="Arial" w:cs="Arial"/>
        </w:rPr>
        <w:t>To pull the historic WAC for brand name drugs</w:t>
      </w:r>
      <w:r w:rsidR="005C2D7E">
        <w:rPr>
          <w:rFonts w:ascii="Arial" w:hAnsi="Arial" w:cs="Arial"/>
        </w:rPr>
        <w:t>,</w:t>
      </w:r>
      <w:r w:rsidRPr="00FB2B15">
        <w:rPr>
          <w:rFonts w:ascii="Arial" w:hAnsi="Arial" w:cs="Arial"/>
        </w:rPr>
        <w:t xml:space="preserve"> divide the AWP by 1.2</w:t>
      </w:r>
    </w:p>
    <w:p w14:paraId="3091135C" w14:textId="13A3CF8B" w:rsidR="008F5C99" w:rsidRDefault="007245E1" w:rsidP="008F5C99">
      <w:pPr>
        <w:pStyle w:val="NoSpacing"/>
        <w:numPr>
          <w:ilvl w:val="2"/>
          <w:numId w:val="11"/>
        </w:numPr>
        <w:rPr>
          <w:rFonts w:ascii="Arial" w:hAnsi="Arial" w:cs="Arial"/>
        </w:rPr>
      </w:pPr>
      <w:r w:rsidRPr="00FB2B15">
        <w:rPr>
          <w:rFonts w:ascii="Arial" w:hAnsi="Arial" w:cs="Arial"/>
        </w:rPr>
        <w:t xml:space="preserve">For drugs with available generics, </w:t>
      </w:r>
      <w:r w:rsidR="005C2D7E">
        <w:rPr>
          <w:rFonts w:ascii="Arial" w:hAnsi="Arial" w:cs="Arial"/>
        </w:rPr>
        <w:t xml:space="preserve">we </w:t>
      </w:r>
      <w:r w:rsidRPr="00FB2B15">
        <w:rPr>
          <w:rFonts w:ascii="Arial" w:hAnsi="Arial" w:cs="Arial"/>
        </w:rPr>
        <w:t xml:space="preserve">extract price for </w:t>
      </w:r>
      <w:r w:rsidRPr="005C2D7E">
        <w:rPr>
          <w:rFonts w:ascii="Arial" w:hAnsi="Arial" w:cs="Arial"/>
          <w:u w:val="single"/>
        </w:rPr>
        <w:t>the most commonly prescribed NDC</w:t>
      </w:r>
      <w:r w:rsidRPr="00FB2B15">
        <w:rPr>
          <w:rFonts w:ascii="Arial" w:hAnsi="Arial" w:cs="Arial"/>
        </w:rPr>
        <w:t>, defined as having the highest integrated units sold according to Bloomberg Drug Explorer</w:t>
      </w:r>
      <w:r w:rsidR="005C2D7E">
        <w:rPr>
          <w:rFonts w:ascii="Arial" w:hAnsi="Arial" w:cs="Arial"/>
        </w:rPr>
        <w:t xml:space="preserve"> data</w:t>
      </w:r>
      <w:r w:rsidR="00C80E74" w:rsidRPr="00FB2B15">
        <w:rPr>
          <w:rFonts w:ascii="Arial" w:hAnsi="Arial" w:cs="Arial"/>
        </w:rPr>
        <w:t>.</w:t>
      </w:r>
    </w:p>
    <w:p w14:paraId="32694934" w14:textId="77777777" w:rsidR="005C2D7E" w:rsidRPr="00FB2B15" w:rsidRDefault="005C2D7E" w:rsidP="005C2D7E">
      <w:pPr>
        <w:pStyle w:val="NoSpacing"/>
        <w:ind w:left="1800"/>
        <w:rPr>
          <w:rFonts w:ascii="Arial" w:hAnsi="Arial" w:cs="Arial"/>
        </w:rPr>
      </w:pPr>
    </w:p>
    <w:p w14:paraId="20F5D568" w14:textId="60B93D53" w:rsidR="007245E1" w:rsidRPr="00FB2B15" w:rsidRDefault="007245E1" w:rsidP="005C2D7E">
      <w:pPr>
        <w:pStyle w:val="NoSpacing"/>
        <w:numPr>
          <w:ilvl w:val="1"/>
          <w:numId w:val="11"/>
        </w:numPr>
        <w:rPr>
          <w:rFonts w:ascii="Arial" w:hAnsi="Arial" w:cs="Arial"/>
        </w:rPr>
      </w:pPr>
      <w:r w:rsidRPr="00FB2B15">
        <w:rPr>
          <w:rFonts w:ascii="Arial" w:hAnsi="Arial" w:cs="Arial"/>
        </w:rPr>
        <w:t xml:space="preserve">For </w:t>
      </w:r>
      <w:r w:rsidR="00256241" w:rsidRPr="005C2D7E">
        <w:rPr>
          <w:rFonts w:ascii="Arial" w:hAnsi="Arial" w:cs="Arial"/>
          <w:b/>
          <w:bCs/>
        </w:rPr>
        <w:t xml:space="preserve">part B </w:t>
      </w:r>
      <w:r w:rsidRPr="005C2D7E">
        <w:rPr>
          <w:rFonts w:ascii="Arial" w:hAnsi="Arial" w:cs="Arial"/>
          <w:b/>
          <w:bCs/>
        </w:rPr>
        <w:t>biologic drugs with biosimilars</w:t>
      </w:r>
      <w:r w:rsidRPr="00FB2B15">
        <w:rPr>
          <w:rFonts w:ascii="Arial" w:hAnsi="Arial" w:cs="Arial"/>
        </w:rPr>
        <w:t xml:space="preserve">, </w:t>
      </w:r>
      <w:r w:rsidR="00DA294A">
        <w:rPr>
          <w:rFonts w:ascii="Arial" w:hAnsi="Arial" w:cs="Arial"/>
        </w:rPr>
        <w:t>we use</w:t>
      </w:r>
      <w:r w:rsidRPr="00FB2B15">
        <w:rPr>
          <w:rFonts w:ascii="Arial" w:hAnsi="Arial" w:cs="Arial"/>
        </w:rPr>
        <w:t xml:space="preserve"> the ASP price for the </w:t>
      </w:r>
      <w:r w:rsidRPr="00DA294A">
        <w:rPr>
          <w:rFonts w:ascii="Arial" w:hAnsi="Arial" w:cs="Arial"/>
          <w:u w:val="single"/>
        </w:rPr>
        <w:t xml:space="preserve">most commonly prescribed </w:t>
      </w:r>
      <w:r w:rsidR="00DA294A" w:rsidRPr="00DA294A">
        <w:rPr>
          <w:rFonts w:ascii="Arial" w:hAnsi="Arial" w:cs="Arial"/>
          <w:u w:val="single"/>
        </w:rPr>
        <w:t>drug</w:t>
      </w:r>
      <w:r w:rsidR="00DA294A">
        <w:rPr>
          <w:rFonts w:ascii="Arial" w:hAnsi="Arial" w:cs="Arial"/>
        </w:rPr>
        <w:t xml:space="preserve"> among the parent biologic and all biosimilars,</w:t>
      </w:r>
      <w:r w:rsidR="00256241" w:rsidRPr="00FB2B15">
        <w:rPr>
          <w:rFonts w:ascii="Arial" w:hAnsi="Arial" w:cs="Arial"/>
        </w:rPr>
        <w:t xml:space="preserve"> based on integrated units/manufacturer </w:t>
      </w:r>
      <w:r w:rsidR="00DA294A">
        <w:rPr>
          <w:rFonts w:ascii="Arial" w:hAnsi="Arial" w:cs="Arial"/>
        </w:rPr>
        <w:t>sales</w:t>
      </w:r>
      <w:r w:rsidR="00256241" w:rsidRPr="00FB2B15">
        <w:rPr>
          <w:rFonts w:ascii="Arial" w:hAnsi="Arial" w:cs="Arial"/>
        </w:rPr>
        <w:t xml:space="preserve"> from Bloomberg</w:t>
      </w:r>
      <w:r w:rsidR="00DA294A">
        <w:rPr>
          <w:rFonts w:ascii="Arial" w:hAnsi="Arial" w:cs="Arial"/>
        </w:rPr>
        <w:t xml:space="preserve"> data.</w:t>
      </w:r>
    </w:p>
    <w:p w14:paraId="6E80FF1D" w14:textId="0F37441A" w:rsidR="00C03633" w:rsidRDefault="007245E1" w:rsidP="005C2D7E">
      <w:pPr>
        <w:pStyle w:val="NoSpacing"/>
        <w:numPr>
          <w:ilvl w:val="2"/>
          <w:numId w:val="11"/>
        </w:numPr>
        <w:rPr>
          <w:rFonts w:ascii="Arial" w:hAnsi="Arial" w:cs="Arial"/>
        </w:rPr>
      </w:pPr>
      <w:r w:rsidRPr="00FB2B15">
        <w:rPr>
          <w:rFonts w:ascii="Arial" w:hAnsi="Arial" w:cs="Arial"/>
        </w:rPr>
        <w:t xml:space="preserve">An exception </w:t>
      </w:r>
      <w:r w:rsidR="00DA294A">
        <w:rPr>
          <w:rFonts w:ascii="Arial" w:hAnsi="Arial" w:cs="Arial"/>
        </w:rPr>
        <w:t>to this process is</w:t>
      </w:r>
      <w:r w:rsidRPr="00FB2B15">
        <w:rPr>
          <w:rFonts w:ascii="Arial" w:hAnsi="Arial" w:cs="Arial"/>
        </w:rPr>
        <w:t xml:space="preserve"> the kidney cancer guidelines</w:t>
      </w:r>
      <w:r w:rsidR="00DA294A">
        <w:rPr>
          <w:rFonts w:ascii="Arial" w:hAnsi="Arial" w:cs="Arial"/>
        </w:rPr>
        <w:t>,</w:t>
      </w:r>
      <w:r w:rsidRPr="00FB2B15">
        <w:rPr>
          <w:rFonts w:ascii="Arial" w:hAnsi="Arial" w:cs="Arial"/>
        </w:rPr>
        <w:t xml:space="preserve"> which specif</w:t>
      </w:r>
      <w:r w:rsidR="00DA294A">
        <w:rPr>
          <w:rFonts w:ascii="Arial" w:hAnsi="Arial" w:cs="Arial"/>
        </w:rPr>
        <w:t>y</w:t>
      </w:r>
      <w:r w:rsidRPr="00FB2B15">
        <w:rPr>
          <w:rFonts w:ascii="Arial" w:hAnsi="Arial" w:cs="Arial"/>
        </w:rPr>
        <w:t xml:space="preserve"> brand name </w:t>
      </w:r>
      <w:r w:rsidR="00DA294A">
        <w:rPr>
          <w:rFonts w:ascii="Arial" w:hAnsi="Arial" w:cs="Arial"/>
        </w:rPr>
        <w:t>bevacizumab (A</w:t>
      </w:r>
      <w:r w:rsidRPr="00FB2B15">
        <w:rPr>
          <w:rFonts w:ascii="Arial" w:hAnsi="Arial" w:cs="Arial"/>
        </w:rPr>
        <w:t>vastin</w:t>
      </w:r>
      <w:r w:rsidR="00DA294A">
        <w:rPr>
          <w:rFonts w:ascii="Arial" w:hAnsi="Arial" w:cs="Arial"/>
        </w:rPr>
        <w:t>)</w:t>
      </w:r>
      <w:r w:rsidRPr="00FB2B15">
        <w:rPr>
          <w:rFonts w:ascii="Arial" w:hAnsi="Arial" w:cs="Arial"/>
        </w:rPr>
        <w:t xml:space="preserve"> vs biosimila</w:t>
      </w:r>
      <w:r w:rsidR="00DA294A">
        <w:rPr>
          <w:rFonts w:ascii="Arial" w:hAnsi="Arial" w:cs="Arial"/>
        </w:rPr>
        <w:t>rs</w:t>
      </w:r>
    </w:p>
    <w:p w14:paraId="1B687F4C" w14:textId="77777777" w:rsidR="00F3792B" w:rsidRDefault="00F3792B" w:rsidP="00F3792B">
      <w:pPr>
        <w:pStyle w:val="NoSpacing"/>
        <w:rPr>
          <w:rFonts w:ascii="Arial" w:hAnsi="Arial" w:cs="Arial"/>
        </w:rPr>
      </w:pPr>
    </w:p>
    <w:p w14:paraId="35BD5DBC" w14:textId="3D7E7695" w:rsidR="00A21F14" w:rsidRDefault="00A21F14" w:rsidP="00A21F14">
      <w:pPr>
        <w:pStyle w:val="NoSpacing"/>
        <w:numPr>
          <w:ilvl w:val="1"/>
          <w:numId w:val="11"/>
        </w:numPr>
        <w:rPr>
          <w:rFonts w:ascii="Arial" w:hAnsi="Arial" w:cs="Arial"/>
        </w:rPr>
      </w:pPr>
      <w:r w:rsidRPr="00F3792B">
        <w:rPr>
          <w:rFonts w:ascii="Arial" w:hAnsi="Arial" w:cs="Arial"/>
          <w:b/>
          <w:bCs/>
        </w:rPr>
        <w:t>CAR-T therapies</w:t>
      </w:r>
      <w:r>
        <w:rPr>
          <w:rFonts w:ascii="Arial" w:hAnsi="Arial" w:cs="Arial"/>
        </w:rPr>
        <w:t xml:space="preserve"> have HCPCS codes but no corresponding ASP price. We follow this hierarchy for pricing:</w:t>
      </w:r>
    </w:p>
    <w:p w14:paraId="5BCB8066" w14:textId="42AD2A49" w:rsidR="00A21F14" w:rsidRDefault="00A21F14" w:rsidP="00A21F14">
      <w:pPr>
        <w:pStyle w:val="NoSpacing"/>
        <w:numPr>
          <w:ilvl w:val="2"/>
          <w:numId w:val="11"/>
        </w:numPr>
        <w:rPr>
          <w:rFonts w:ascii="Arial" w:hAnsi="Arial" w:cs="Arial"/>
        </w:rPr>
      </w:pPr>
      <w:r>
        <w:rPr>
          <w:rFonts w:ascii="Arial" w:hAnsi="Arial" w:cs="Arial"/>
        </w:rPr>
        <w:t>If no WAC is available, we look for a press release with a reimbursement price</w:t>
      </w:r>
    </w:p>
    <w:p w14:paraId="04AFC035" w14:textId="2D76B3C9" w:rsidR="00A21F14" w:rsidRDefault="00A21F14" w:rsidP="00A21F14">
      <w:pPr>
        <w:pStyle w:val="NoSpacing"/>
        <w:numPr>
          <w:ilvl w:val="2"/>
          <w:numId w:val="11"/>
        </w:numPr>
        <w:rPr>
          <w:rFonts w:ascii="Arial" w:hAnsi="Arial" w:cs="Arial"/>
        </w:rPr>
      </w:pPr>
      <w:r>
        <w:rPr>
          <w:rFonts w:ascii="Arial" w:hAnsi="Arial" w:cs="Arial"/>
        </w:rPr>
        <w:t xml:space="preserve">When a WAC price is available, we multiply it by 1.06 to get the reimbursement price </w:t>
      </w:r>
      <w:r w:rsidR="00F3792B">
        <w:rPr>
          <w:rFonts w:ascii="Arial" w:hAnsi="Arial" w:cs="Arial"/>
        </w:rPr>
        <w:t>and calculate the physician margin</w:t>
      </w:r>
    </w:p>
    <w:p w14:paraId="76BE1A70" w14:textId="6ACC0208" w:rsidR="00E0526C" w:rsidRDefault="004421B1" w:rsidP="00060BD8">
      <w:pPr>
        <w:pStyle w:val="Heading1"/>
        <w:numPr>
          <w:ilvl w:val="0"/>
          <w:numId w:val="0"/>
        </w:numPr>
        <w:rPr>
          <w:rFonts w:ascii="Arial" w:hAnsi="Arial" w:cs="Arial"/>
          <w:color w:val="auto"/>
          <w:u w:val="single"/>
        </w:rPr>
      </w:pPr>
      <w:bookmarkStart w:id="25" w:name="_Toc194582592"/>
      <w:r>
        <w:rPr>
          <w:rFonts w:ascii="Arial" w:hAnsi="Arial" w:cs="Arial"/>
          <w:color w:val="auto"/>
          <w:u w:val="single"/>
        </w:rPr>
        <w:t>Provider Billing</w:t>
      </w:r>
      <w:r w:rsidR="00E0526C" w:rsidRPr="00060BD8">
        <w:rPr>
          <w:rFonts w:ascii="Arial" w:hAnsi="Arial" w:cs="Arial"/>
          <w:color w:val="auto"/>
          <w:u w:val="single"/>
        </w:rPr>
        <w:t xml:space="preserve"> Margin</w:t>
      </w:r>
      <w:bookmarkEnd w:id="25"/>
    </w:p>
    <w:p w14:paraId="5464CBAC" w14:textId="77777777" w:rsidR="00060BD8" w:rsidRPr="00060BD8" w:rsidRDefault="00060BD8" w:rsidP="00060BD8">
      <w:pPr>
        <w:numPr>
          <w:ilvl w:val="0"/>
          <w:numId w:val="0"/>
        </w:numPr>
      </w:pPr>
    </w:p>
    <w:p w14:paraId="03127924" w14:textId="066A7547" w:rsidR="00E0526C" w:rsidRPr="00FB2B15" w:rsidRDefault="00A21A51" w:rsidP="00A21A51">
      <w:pPr>
        <w:pStyle w:val="NoSpacing"/>
        <w:numPr>
          <w:ilvl w:val="0"/>
          <w:numId w:val="20"/>
        </w:numPr>
        <w:rPr>
          <w:rFonts w:ascii="Arial" w:hAnsi="Arial" w:cs="Arial"/>
        </w:rPr>
      </w:pPr>
      <w:r w:rsidRPr="00FB2B15">
        <w:rPr>
          <w:rFonts w:ascii="Arial" w:hAnsi="Arial" w:cs="Arial"/>
        </w:rPr>
        <w:t>When we extract prices for Part B drugs, we use ASP’s payment limit which incorporates a 6% markup to the average sales price. We</w:t>
      </w:r>
      <w:r w:rsidR="00F418A0">
        <w:rPr>
          <w:rFonts w:ascii="Arial" w:hAnsi="Arial" w:cs="Arial"/>
        </w:rPr>
        <w:t xml:space="preserve"> refer to</w:t>
      </w:r>
      <w:r w:rsidRPr="00FB2B15">
        <w:rPr>
          <w:rFonts w:ascii="Arial" w:hAnsi="Arial" w:cs="Arial"/>
        </w:rPr>
        <w:t xml:space="preserve"> this markup </w:t>
      </w:r>
      <w:r w:rsidR="00F418A0">
        <w:rPr>
          <w:rFonts w:ascii="Arial" w:hAnsi="Arial" w:cs="Arial"/>
        </w:rPr>
        <w:t xml:space="preserve">as </w:t>
      </w:r>
      <w:r w:rsidRPr="00FB2B15">
        <w:rPr>
          <w:rFonts w:ascii="Arial" w:hAnsi="Arial" w:cs="Arial"/>
        </w:rPr>
        <w:t xml:space="preserve">the </w:t>
      </w:r>
      <w:r w:rsidR="00F418A0">
        <w:rPr>
          <w:rFonts w:ascii="Arial" w:hAnsi="Arial" w:cs="Arial"/>
        </w:rPr>
        <w:t>“</w:t>
      </w:r>
      <w:r w:rsidRPr="00FB2B15">
        <w:rPr>
          <w:rFonts w:ascii="Arial" w:hAnsi="Arial" w:cs="Arial"/>
        </w:rPr>
        <w:t>physician margin.</w:t>
      </w:r>
      <w:r w:rsidR="00F418A0">
        <w:rPr>
          <w:rFonts w:ascii="Arial" w:hAnsi="Arial" w:cs="Arial"/>
        </w:rPr>
        <w:t>”</w:t>
      </w:r>
      <w:r w:rsidRPr="00FB2B15">
        <w:rPr>
          <w:rFonts w:ascii="Arial" w:hAnsi="Arial" w:cs="Arial"/>
        </w:rPr>
        <w:t xml:space="preserve"> </w:t>
      </w:r>
    </w:p>
    <w:p w14:paraId="4B48FBF7" w14:textId="283A29CF" w:rsidR="00A21A51" w:rsidRPr="00FB2B15" w:rsidRDefault="00A21A51" w:rsidP="00A21A51">
      <w:pPr>
        <w:pStyle w:val="NoSpacing"/>
        <w:numPr>
          <w:ilvl w:val="0"/>
          <w:numId w:val="20"/>
        </w:numPr>
        <w:rPr>
          <w:rFonts w:ascii="Arial" w:hAnsi="Arial" w:cs="Arial"/>
        </w:rPr>
      </w:pPr>
      <w:r w:rsidRPr="00FB2B15">
        <w:rPr>
          <w:rFonts w:ascii="Arial" w:hAnsi="Arial" w:cs="Arial"/>
        </w:rPr>
        <w:t xml:space="preserve">We use the following formula to calculate the physician margin: </w:t>
      </w:r>
    </w:p>
    <w:p w14:paraId="5A62A338" w14:textId="21F40B47" w:rsidR="00A21A51" w:rsidRPr="00FB2B15" w:rsidRDefault="004A4C4E" w:rsidP="00A21A51">
      <w:pPr>
        <w:pStyle w:val="NoSpacing"/>
        <w:numPr>
          <w:ilvl w:val="1"/>
          <w:numId w:val="20"/>
        </w:numPr>
        <w:rPr>
          <w:rFonts w:ascii="Arial" w:hAnsi="Arial" w:cs="Arial"/>
        </w:rPr>
      </w:pPr>
      <w:r w:rsidRPr="00FB2B15">
        <w:rPr>
          <w:rFonts w:ascii="Arial" w:hAnsi="Arial" w:cs="Arial"/>
        </w:rPr>
        <w:t>(</w:t>
      </w:r>
      <w:r w:rsidR="00A21A51" w:rsidRPr="00FB2B15">
        <w:rPr>
          <w:rFonts w:ascii="Arial" w:hAnsi="Arial" w:cs="Arial"/>
        </w:rPr>
        <w:t>ASP payment limit / 1.06</w:t>
      </w:r>
      <w:r w:rsidRPr="00FB2B15">
        <w:rPr>
          <w:rFonts w:ascii="Arial" w:hAnsi="Arial" w:cs="Arial"/>
        </w:rPr>
        <w:t>)</w:t>
      </w:r>
      <w:r w:rsidR="00A21A51" w:rsidRPr="00FB2B15">
        <w:rPr>
          <w:rFonts w:ascii="Arial" w:hAnsi="Arial" w:cs="Arial"/>
        </w:rPr>
        <w:t xml:space="preserve"> * 0.06</w:t>
      </w:r>
    </w:p>
    <w:p w14:paraId="26C3BBEF" w14:textId="0C13155D" w:rsidR="00A21A51" w:rsidRDefault="00A21A51" w:rsidP="00A21A51">
      <w:pPr>
        <w:pStyle w:val="NoSpacing"/>
        <w:numPr>
          <w:ilvl w:val="1"/>
          <w:numId w:val="20"/>
        </w:numPr>
        <w:rPr>
          <w:rFonts w:ascii="Arial" w:hAnsi="Arial" w:cs="Arial"/>
        </w:rPr>
      </w:pPr>
      <w:r w:rsidRPr="00FB2B15">
        <w:rPr>
          <w:rFonts w:ascii="Arial" w:hAnsi="Arial" w:cs="Arial"/>
        </w:rPr>
        <w:t xml:space="preserve">Dividing the payment limit by 1.06 gives us the true average sales price and multiplying by 6% gives us the markup. </w:t>
      </w:r>
    </w:p>
    <w:p w14:paraId="290A9B83" w14:textId="6DA28345" w:rsidR="00510805" w:rsidRDefault="00510805" w:rsidP="00F418A0">
      <w:pPr>
        <w:pStyle w:val="NoSpacing"/>
        <w:numPr>
          <w:ilvl w:val="0"/>
          <w:numId w:val="20"/>
        </w:numPr>
        <w:rPr>
          <w:rFonts w:ascii="Arial" w:hAnsi="Arial" w:cs="Arial"/>
        </w:rPr>
      </w:pPr>
      <w:r>
        <w:rPr>
          <w:rFonts w:ascii="Arial" w:hAnsi="Arial" w:cs="Arial"/>
        </w:rPr>
        <w:t xml:space="preserve">We assume that there is no provider markup on oral / Part D-covered cancer drugs </w:t>
      </w:r>
    </w:p>
    <w:p w14:paraId="548716DA" w14:textId="2A12A9D8" w:rsidR="00F418A0" w:rsidRDefault="00F418A0" w:rsidP="00F418A0">
      <w:pPr>
        <w:pStyle w:val="NoSpacing"/>
        <w:numPr>
          <w:ilvl w:val="0"/>
          <w:numId w:val="20"/>
        </w:numPr>
        <w:rPr>
          <w:rFonts w:ascii="Arial" w:hAnsi="Arial" w:cs="Arial"/>
        </w:rPr>
      </w:pPr>
      <w:r>
        <w:rPr>
          <w:rFonts w:ascii="Arial" w:hAnsi="Arial" w:cs="Arial"/>
        </w:rPr>
        <w:t>We assume that other services besides the drug itself (</w:t>
      </w:r>
      <w:proofErr w:type="spellStart"/>
      <w:r>
        <w:rPr>
          <w:rFonts w:ascii="Arial" w:hAnsi="Arial" w:cs="Arial"/>
        </w:rPr>
        <w:t>eg.</w:t>
      </w:r>
      <w:proofErr w:type="spellEnd"/>
      <w:r>
        <w:rPr>
          <w:rFonts w:ascii="Arial" w:hAnsi="Arial" w:cs="Arial"/>
        </w:rPr>
        <w:t>, administration costs) are effectively revenue-neutral to the provider and hence do not factor into billing/profit margin.</w:t>
      </w:r>
    </w:p>
    <w:p w14:paraId="0A8F2C43" w14:textId="77777777" w:rsidR="00A24CC9" w:rsidRDefault="00A24CC9" w:rsidP="00A24CC9">
      <w:pPr>
        <w:pStyle w:val="NoSpacing"/>
        <w:rPr>
          <w:rFonts w:ascii="Arial" w:hAnsi="Arial" w:cs="Arial"/>
        </w:rPr>
      </w:pPr>
    </w:p>
    <w:p w14:paraId="2428DB30" w14:textId="77777777" w:rsidR="00A24CC9" w:rsidRDefault="00A24CC9" w:rsidP="00A24CC9">
      <w:pPr>
        <w:pStyle w:val="NoSpacing"/>
        <w:rPr>
          <w:rFonts w:ascii="Arial" w:hAnsi="Arial" w:cs="Arial"/>
        </w:rPr>
      </w:pPr>
    </w:p>
    <w:p w14:paraId="2EA5F5C8" w14:textId="36F96332" w:rsidR="00E36B06" w:rsidRPr="00DC7E81" w:rsidRDefault="00E36B06" w:rsidP="00060BD8">
      <w:pPr>
        <w:pStyle w:val="Heading1"/>
        <w:numPr>
          <w:ilvl w:val="0"/>
          <w:numId w:val="0"/>
        </w:numPr>
        <w:rPr>
          <w:rFonts w:ascii="Arial" w:hAnsi="Arial" w:cs="Arial"/>
          <w:color w:val="auto"/>
          <w:u w:val="single"/>
        </w:rPr>
      </w:pPr>
      <w:bookmarkStart w:id="26" w:name="_Toc194582593"/>
      <w:r w:rsidRPr="00DC7E81">
        <w:rPr>
          <w:rFonts w:ascii="Arial" w:hAnsi="Arial" w:cs="Arial"/>
          <w:color w:val="auto"/>
          <w:u w:val="single"/>
        </w:rPr>
        <w:lastRenderedPageBreak/>
        <w:t xml:space="preserve">Regimen </w:t>
      </w:r>
      <w:r w:rsidR="00060BD8" w:rsidRPr="00DC7E81">
        <w:rPr>
          <w:rFonts w:ascii="Arial" w:hAnsi="Arial" w:cs="Arial"/>
          <w:color w:val="auto"/>
          <w:u w:val="single"/>
        </w:rPr>
        <w:t>A</w:t>
      </w:r>
      <w:r w:rsidRPr="00DC7E81">
        <w:rPr>
          <w:rFonts w:ascii="Arial" w:hAnsi="Arial" w:cs="Arial"/>
          <w:color w:val="auto"/>
          <w:u w:val="single"/>
        </w:rPr>
        <w:t>bbreviations</w:t>
      </w:r>
      <w:r w:rsidR="00510805">
        <w:rPr>
          <w:rFonts w:ascii="Arial" w:hAnsi="Arial" w:cs="Arial"/>
          <w:color w:val="auto"/>
          <w:u w:val="single"/>
        </w:rPr>
        <w:t xml:space="preserve"> (not comprehensive)</w:t>
      </w:r>
      <w:bookmarkEnd w:id="26"/>
    </w:p>
    <w:p w14:paraId="253B8B31" w14:textId="3E4DCF07" w:rsidR="00E36B06" w:rsidRPr="00FB2B15" w:rsidRDefault="00E36B06" w:rsidP="00FC570C">
      <w:pPr>
        <w:pStyle w:val="NormalWeb"/>
        <w:numPr>
          <w:ilvl w:val="0"/>
          <w:numId w:val="22"/>
        </w:numPr>
      </w:pPr>
      <w:r w:rsidRPr="00FB2B15">
        <w:t>AC</w:t>
      </w:r>
      <w:r w:rsidR="007B439B" w:rsidRPr="00FB2B15">
        <w:t xml:space="preserve"> (doxorubicin, cyclophosphamide)</w:t>
      </w:r>
    </w:p>
    <w:p w14:paraId="699E54A2" w14:textId="45100E6A" w:rsidR="007B439B" w:rsidRPr="00FB2B15" w:rsidRDefault="007B439B" w:rsidP="00FC570C">
      <w:pPr>
        <w:pStyle w:val="NormalWeb"/>
        <w:numPr>
          <w:ilvl w:val="0"/>
          <w:numId w:val="22"/>
        </w:numPr>
      </w:pPr>
      <w:r w:rsidRPr="00FB2B15">
        <w:t>AD (doxorubicin, dacarbazine)</w:t>
      </w:r>
    </w:p>
    <w:p w14:paraId="78889825" w14:textId="767EF0BF" w:rsidR="007B439B" w:rsidRPr="00FB2B15" w:rsidRDefault="007B439B" w:rsidP="00FC570C">
      <w:pPr>
        <w:pStyle w:val="NormalWeb"/>
        <w:numPr>
          <w:ilvl w:val="0"/>
          <w:numId w:val="22"/>
        </w:numPr>
      </w:pPr>
      <w:r w:rsidRPr="00FB2B15">
        <w:t xml:space="preserve">AIM (doxorubicin, </w:t>
      </w:r>
      <w:proofErr w:type="spellStart"/>
      <w:r w:rsidRPr="00FB2B15">
        <w:t>ifosfamide</w:t>
      </w:r>
      <w:proofErr w:type="spellEnd"/>
      <w:r w:rsidRPr="00FB2B15">
        <w:t xml:space="preserve">, </w:t>
      </w:r>
      <w:proofErr w:type="spellStart"/>
      <w:r w:rsidRPr="00FB2B15">
        <w:t>mesna</w:t>
      </w:r>
      <w:proofErr w:type="spellEnd"/>
      <w:r w:rsidRPr="00FB2B15">
        <w:t>)</w:t>
      </w:r>
    </w:p>
    <w:p w14:paraId="6334427E" w14:textId="0E8913A2" w:rsidR="007B439B" w:rsidRPr="00FB2B15" w:rsidRDefault="007B439B" w:rsidP="00FC570C">
      <w:pPr>
        <w:pStyle w:val="NormalWeb"/>
        <w:numPr>
          <w:ilvl w:val="0"/>
          <w:numId w:val="22"/>
        </w:numPr>
      </w:pPr>
      <w:r w:rsidRPr="00FB2B15">
        <w:t>ATRA (tretinoin)</w:t>
      </w:r>
    </w:p>
    <w:p w14:paraId="70A4AFCB" w14:textId="7C76D6BB" w:rsidR="00D03056" w:rsidRPr="00FB2B15" w:rsidRDefault="00D03056" w:rsidP="00FC570C">
      <w:pPr>
        <w:pStyle w:val="NormalWeb"/>
        <w:numPr>
          <w:ilvl w:val="0"/>
          <w:numId w:val="22"/>
        </w:numPr>
      </w:pPr>
      <w:r w:rsidRPr="00FB2B15">
        <w:t>BEP (bleomycin, etoposide, cisplatin)</w:t>
      </w:r>
    </w:p>
    <w:p w14:paraId="5E32D514" w14:textId="454BD6AA" w:rsidR="00E36B06" w:rsidRPr="00FB2B15" w:rsidRDefault="00E36B06" w:rsidP="00FC570C">
      <w:pPr>
        <w:pStyle w:val="NormalWeb"/>
        <w:numPr>
          <w:ilvl w:val="0"/>
          <w:numId w:val="22"/>
        </w:numPr>
      </w:pPr>
      <w:proofErr w:type="spellStart"/>
      <w:r w:rsidRPr="00FB2B15">
        <w:t>CapeOx</w:t>
      </w:r>
      <w:proofErr w:type="spellEnd"/>
      <w:r w:rsidR="00F47058" w:rsidRPr="00FB2B15">
        <w:t xml:space="preserve"> (capecitabine + oxaliplatin)</w:t>
      </w:r>
    </w:p>
    <w:p w14:paraId="0EDDD07C" w14:textId="7040BECE" w:rsidR="00065E7D" w:rsidRPr="00FB2B15" w:rsidRDefault="00065E7D" w:rsidP="00FC570C">
      <w:pPr>
        <w:pStyle w:val="NormalWeb"/>
        <w:numPr>
          <w:ilvl w:val="0"/>
          <w:numId w:val="22"/>
        </w:numPr>
      </w:pPr>
      <w:r w:rsidRPr="00FB2B15">
        <w:t>CEOP (cyclophosphamide, etoposide, vincristine, prednisone)</w:t>
      </w:r>
    </w:p>
    <w:p w14:paraId="53B2536B" w14:textId="68B5507E" w:rsidR="00E36B06" w:rsidRPr="00FB2B15" w:rsidRDefault="00E36B06" w:rsidP="00FC570C">
      <w:pPr>
        <w:pStyle w:val="NormalWeb"/>
        <w:numPr>
          <w:ilvl w:val="0"/>
          <w:numId w:val="22"/>
        </w:numPr>
      </w:pPr>
      <w:r w:rsidRPr="00FB2B15">
        <w:t>CEPP</w:t>
      </w:r>
      <w:r w:rsidR="00065E7D" w:rsidRPr="00FB2B15">
        <w:t xml:space="preserve"> (cyclophosphamide, etoposide, procarbazine, prednisone)</w:t>
      </w:r>
    </w:p>
    <w:p w14:paraId="2D1342B2" w14:textId="4FF320E0" w:rsidR="00E36B06" w:rsidRPr="00FB2B15" w:rsidRDefault="00E36B06" w:rsidP="00FC570C">
      <w:pPr>
        <w:pStyle w:val="NormalWeb"/>
        <w:numPr>
          <w:ilvl w:val="0"/>
          <w:numId w:val="22"/>
        </w:numPr>
      </w:pPr>
      <w:r w:rsidRPr="00FB2B15">
        <w:t>CHOP</w:t>
      </w:r>
      <w:r w:rsidR="00065E7D" w:rsidRPr="00FB2B15">
        <w:t xml:space="preserve"> (cyclophosphamide, doxorubicin, vincristine, prednisone)</w:t>
      </w:r>
    </w:p>
    <w:p w14:paraId="7A951DC0" w14:textId="5CD6A8BB" w:rsidR="00E36B06" w:rsidRPr="00FB2B15" w:rsidRDefault="00E36B06" w:rsidP="00FC570C">
      <w:pPr>
        <w:pStyle w:val="NormalWeb"/>
        <w:numPr>
          <w:ilvl w:val="0"/>
          <w:numId w:val="22"/>
        </w:numPr>
      </w:pPr>
      <w:r w:rsidRPr="00FB2B15">
        <w:t>CMF</w:t>
      </w:r>
      <w:r w:rsidR="00065E7D" w:rsidRPr="00FB2B15">
        <w:t xml:space="preserve"> (cyclophosphamide, methotrexate, fluorouracil)</w:t>
      </w:r>
    </w:p>
    <w:p w14:paraId="55D6B9CA" w14:textId="35C09B4A" w:rsidR="00E36B06" w:rsidRPr="00FB2B15" w:rsidRDefault="00E36B06" w:rsidP="00FC570C">
      <w:pPr>
        <w:pStyle w:val="NormalWeb"/>
        <w:numPr>
          <w:ilvl w:val="0"/>
          <w:numId w:val="22"/>
        </w:numPr>
      </w:pPr>
      <w:r w:rsidRPr="00FB2B15">
        <w:t>CMV</w:t>
      </w:r>
      <w:r w:rsidR="00065E7D" w:rsidRPr="00FB2B15">
        <w:t xml:space="preserve"> (cisplatin, methotrexate, vinblastine)</w:t>
      </w:r>
    </w:p>
    <w:p w14:paraId="36C6E4B0" w14:textId="382BD6D9" w:rsidR="00F47058" w:rsidRPr="00FB2B15" w:rsidRDefault="00F47058" w:rsidP="00FC570C">
      <w:pPr>
        <w:pStyle w:val="NormalWeb"/>
        <w:numPr>
          <w:ilvl w:val="0"/>
          <w:numId w:val="22"/>
        </w:numPr>
      </w:pPr>
      <w:r w:rsidRPr="00FB2B15">
        <w:t>CODOX-M</w:t>
      </w:r>
      <w:r w:rsidR="00065E7D" w:rsidRPr="00FB2B15">
        <w:t xml:space="preserve"> (cyclophosphamide, vincristine, doxorubicin, methotrexate, leucovorin, cytarabine)</w:t>
      </w:r>
    </w:p>
    <w:p w14:paraId="3BD65809" w14:textId="78AC8AEC" w:rsidR="00E36B06" w:rsidRPr="00FB2B15" w:rsidRDefault="00E36B06" w:rsidP="00FC570C">
      <w:pPr>
        <w:pStyle w:val="NormalWeb"/>
        <w:numPr>
          <w:ilvl w:val="0"/>
          <w:numId w:val="22"/>
        </w:numPr>
      </w:pPr>
      <w:r w:rsidRPr="00FB2B15">
        <w:t>CVD</w:t>
      </w:r>
      <w:r w:rsidR="00F47058" w:rsidRPr="00FB2B15">
        <w:t xml:space="preserve"> (</w:t>
      </w:r>
      <w:r w:rsidR="00065E7D" w:rsidRPr="00FB2B15">
        <w:t>c</w:t>
      </w:r>
      <w:r w:rsidRPr="00FB2B15">
        <w:t>isplatin, vinblastine, dacarbazine</w:t>
      </w:r>
      <w:r w:rsidR="00F47058" w:rsidRPr="00FB2B15">
        <w:t>)</w:t>
      </w:r>
    </w:p>
    <w:p w14:paraId="68ED34D4" w14:textId="238788B5" w:rsidR="00E36B06" w:rsidRPr="00FB2B15" w:rsidRDefault="00E36B06" w:rsidP="00FC570C">
      <w:pPr>
        <w:pStyle w:val="NormalWeb"/>
        <w:numPr>
          <w:ilvl w:val="0"/>
          <w:numId w:val="22"/>
        </w:numPr>
      </w:pPr>
      <w:r w:rsidRPr="00FB2B15">
        <w:t>CVP</w:t>
      </w:r>
      <w:r w:rsidR="00065E7D" w:rsidRPr="00FB2B15">
        <w:t xml:space="preserve"> (cyclophosphamide, vincristine, prednisone)</w:t>
      </w:r>
    </w:p>
    <w:p w14:paraId="344A2DB8" w14:textId="536A044B" w:rsidR="00E36B06" w:rsidRPr="00FB2B15" w:rsidRDefault="00E36B06" w:rsidP="00FC570C">
      <w:pPr>
        <w:pStyle w:val="NormalWeb"/>
        <w:numPr>
          <w:ilvl w:val="0"/>
          <w:numId w:val="22"/>
        </w:numPr>
      </w:pPr>
      <w:r w:rsidRPr="00FB2B15">
        <w:t>DA-EPOCH</w:t>
      </w:r>
      <w:r w:rsidR="004A3310" w:rsidRPr="00FB2B15">
        <w:t>/EPOCH</w:t>
      </w:r>
      <w:r w:rsidR="004B7024" w:rsidRPr="00FB2B15">
        <w:t xml:space="preserve"> (cyclophosphamide, doxorubicin, vincristine, prednisone, etoposide)</w:t>
      </w:r>
    </w:p>
    <w:p w14:paraId="615D4EA8" w14:textId="615C5A85" w:rsidR="007B439B" w:rsidRPr="00FB2B15" w:rsidRDefault="007B439B" w:rsidP="00FC570C">
      <w:pPr>
        <w:pStyle w:val="NormalWeb"/>
        <w:numPr>
          <w:ilvl w:val="0"/>
          <w:numId w:val="22"/>
        </w:numPr>
      </w:pPr>
      <w:r w:rsidRPr="00FB2B15">
        <w:t>DCF</w:t>
      </w:r>
      <w:r w:rsidR="004B7024" w:rsidRPr="00FB2B15">
        <w:t xml:space="preserve"> (fluorouracil, cisplatin, docetaxel)</w:t>
      </w:r>
    </w:p>
    <w:p w14:paraId="67F35067" w14:textId="4AA527DB" w:rsidR="00E36B06" w:rsidRPr="00FB2B15" w:rsidRDefault="00E36B06" w:rsidP="00FC570C">
      <w:pPr>
        <w:pStyle w:val="NormalWeb"/>
        <w:numPr>
          <w:ilvl w:val="0"/>
          <w:numId w:val="22"/>
        </w:numPr>
      </w:pPr>
      <w:proofErr w:type="spellStart"/>
      <w:r w:rsidRPr="00FB2B15">
        <w:t>ddMVAC</w:t>
      </w:r>
      <w:proofErr w:type="spellEnd"/>
      <w:r w:rsidR="004B7024" w:rsidRPr="00FB2B15">
        <w:t xml:space="preserve"> (methotrexate, vinblastine, doxorubicin, cisplatin)</w:t>
      </w:r>
    </w:p>
    <w:p w14:paraId="7092CEBB" w14:textId="7324041F" w:rsidR="00E36B06" w:rsidRPr="00FB2B15" w:rsidRDefault="00E36B06" w:rsidP="00FC570C">
      <w:pPr>
        <w:pStyle w:val="NormalWeb"/>
        <w:numPr>
          <w:ilvl w:val="0"/>
          <w:numId w:val="22"/>
        </w:numPr>
      </w:pPr>
      <w:r w:rsidRPr="00FB2B15">
        <w:t>DHAP</w:t>
      </w:r>
      <w:r w:rsidR="004B7024" w:rsidRPr="00FB2B15">
        <w:t xml:space="preserve"> (dexamethasone, cytarabine, cisplatin)</w:t>
      </w:r>
    </w:p>
    <w:p w14:paraId="46E4D502" w14:textId="41A14A9F" w:rsidR="00E36B06" w:rsidRPr="00FB2B15" w:rsidRDefault="00E36B06" w:rsidP="00FC570C">
      <w:pPr>
        <w:pStyle w:val="NormalWeb"/>
        <w:numPr>
          <w:ilvl w:val="0"/>
          <w:numId w:val="22"/>
        </w:numPr>
      </w:pPr>
      <w:r w:rsidRPr="00FB2B15">
        <w:t>DHAX</w:t>
      </w:r>
      <w:r w:rsidR="004B7024" w:rsidRPr="00FB2B15">
        <w:t xml:space="preserve"> (dexamethasone, cytarabine</w:t>
      </w:r>
      <w:r w:rsidR="004A3310" w:rsidRPr="00FB2B15">
        <w:t>, oxaliplatin</w:t>
      </w:r>
      <w:r w:rsidR="004B7024" w:rsidRPr="00FB2B15">
        <w:t>)</w:t>
      </w:r>
    </w:p>
    <w:p w14:paraId="0A74E832" w14:textId="4530A9F0" w:rsidR="00E36B06" w:rsidRPr="00FB2B15" w:rsidRDefault="00E36B06" w:rsidP="00FC570C">
      <w:pPr>
        <w:pStyle w:val="NormalWeb"/>
        <w:numPr>
          <w:ilvl w:val="0"/>
          <w:numId w:val="22"/>
        </w:numPr>
      </w:pPr>
      <w:r w:rsidRPr="00FB2B15">
        <w:t>EC</w:t>
      </w:r>
      <w:r w:rsidR="004A3310" w:rsidRPr="00FB2B15">
        <w:t xml:space="preserve"> (</w:t>
      </w:r>
      <w:proofErr w:type="spellStart"/>
      <w:r w:rsidR="004A3310" w:rsidRPr="00FB2B15">
        <w:t>epirubicin</w:t>
      </w:r>
      <w:proofErr w:type="spellEnd"/>
      <w:r w:rsidR="004A3310" w:rsidRPr="00FB2B15">
        <w:t>, cyclophosphamide)</w:t>
      </w:r>
    </w:p>
    <w:p w14:paraId="7CA11A30" w14:textId="281A3EE8" w:rsidR="00E36B06" w:rsidRPr="00FB2B15" w:rsidRDefault="00E36B06" w:rsidP="00FC570C">
      <w:pPr>
        <w:pStyle w:val="NormalWeb"/>
        <w:numPr>
          <w:ilvl w:val="0"/>
          <w:numId w:val="22"/>
        </w:numPr>
      </w:pPr>
      <w:r w:rsidRPr="00FB2B15">
        <w:t>ESHAP</w:t>
      </w:r>
      <w:r w:rsidR="004A3310" w:rsidRPr="00FB2B15">
        <w:t xml:space="preserve"> (etoposide, methylprednisolone, cytarabine, cisplatin)</w:t>
      </w:r>
    </w:p>
    <w:p w14:paraId="4B52CA36" w14:textId="4F670BF3" w:rsidR="00D03056" w:rsidRPr="00FB2B15" w:rsidRDefault="00D03056" w:rsidP="00FC570C">
      <w:pPr>
        <w:pStyle w:val="NormalWeb"/>
        <w:numPr>
          <w:ilvl w:val="0"/>
          <w:numId w:val="22"/>
        </w:numPr>
      </w:pPr>
      <w:r w:rsidRPr="00FB2B15">
        <w:t>FCR (fludarabine, cyclophosphamide, rituximab)</w:t>
      </w:r>
    </w:p>
    <w:p w14:paraId="4FF1DFB5" w14:textId="52BD1C9B" w:rsidR="00D03056" w:rsidRPr="00FB2B15" w:rsidRDefault="00D03056" w:rsidP="00FC570C">
      <w:pPr>
        <w:pStyle w:val="NormalWeb"/>
        <w:numPr>
          <w:ilvl w:val="0"/>
          <w:numId w:val="22"/>
        </w:numPr>
      </w:pPr>
      <w:r w:rsidRPr="00FB2B15">
        <w:t>FLOT (</w:t>
      </w:r>
      <w:r w:rsidR="00065E7D" w:rsidRPr="00FB2B15">
        <w:t>fluorouracil</w:t>
      </w:r>
      <w:r w:rsidRPr="00FB2B15">
        <w:t>, leucovorin, oxaliplatin, docetaxel)</w:t>
      </w:r>
    </w:p>
    <w:p w14:paraId="6DE338C1" w14:textId="4A8C00A2" w:rsidR="00E36B06" w:rsidRPr="00FB2B15" w:rsidRDefault="00E36B06" w:rsidP="00FC570C">
      <w:pPr>
        <w:pStyle w:val="NormalWeb"/>
        <w:numPr>
          <w:ilvl w:val="0"/>
          <w:numId w:val="22"/>
        </w:numPr>
      </w:pPr>
      <w:r w:rsidRPr="00FB2B15">
        <w:t>FOLFIRI</w:t>
      </w:r>
      <w:r w:rsidR="00D03056" w:rsidRPr="00FB2B15">
        <w:t xml:space="preserve"> (</w:t>
      </w:r>
      <w:r w:rsidR="00065E7D" w:rsidRPr="00FB2B15">
        <w:t>fluorouracil</w:t>
      </w:r>
      <w:r w:rsidR="00D03056" w:rsidRPr="00FB2B15">
        <w:t>, leucovorin, irinotecan)</w:t>
      </w:r>
    </w:p>
    <w:p w14:paraId="381FC830" w14:textId="1875A69A" w:rsidR="00E36B06" w:rsidRPr="00FB2B15" w:rsidRDefault="00E36B06" w:rsidP="00FC570C">
      <w:pPr>
        <w:pStyle w:val="NormalWeb"/>
        <w:numPr>
          <w:ilvl w:val="0"/>
          <w:numId w:val="22"/>
        </w:numPr>
      </w:pPr>
      <w:r w:rsidRPr="00FB2B15">
        <w:t>FOLFOX</w:t>
      </w:r>
      <w:r w:rsidR="009213A2" w:rsidRPr="00FB2B15">
        <w:t xml:space="preserve"> (fluorouracil, leucovorin, oxaliplatin)</w:t>
      </w:r>
    </w:p>
    <w:p w14:paraId="76AACF0F" w14:textId="2DFF09E7" w:rsidR="00E36B06" w:rsidRPr="00FB2B15" w:rsidRDefault="00E36B06" w:rsidP="00FC570C">
      <w:pPr>
        <w:pStyle w:val="NormalWeb"/>
        <w:numPr>
          <w:ilvl w:val="0"/>
          <w:numId w:val="22"/>
        </w:numPr>
      </w:pPr>
      <w:r w:rsidRPr="00FB2B15">
        <w:t>FOLFOXIRI</w:t>
      </w:r>
      <w:r w:rsidR="009213A2" w:rsidRPr="00FB2B15">
        <w:t xml:space="preserve"> (fluorouracil, leucovorin, oxaliplatin, irinotecan)</w:t>
      </w:r>
    </w:p>
    <w:p w14:paraId="6ED8C7C1" w14:textId="33ACD4CF" w:rsidR="00D03056" w:rsidRPr="00FB2B15" w:rsidRDefault="00D03056" w:rsidP="00FC570C">
      <w:pPr>
        <w:pStyle w:val="NormalWeb"/>
        <w:numPr>
          <w:ilvl w:val="0"/>
          <w:numId w:val="22"/>
        </w:numPr>
      </w:pPr>
      <w:r w:rsidRPr="00FB2B15">
        <w:t>FR (fludarabine, rituximab)</w:t>
      </w:r>
    </w:p>
    <w:p w14:paraId="3BDF50DC" w14:textId="333EA027" w:rsidR="00E36B06" w:rsidRPr="00FB2B15" w:rsidRDefault="00E36B06" w:rsidP="00FC570C">
      <w:pPr>
        <w:pStyle w:val="NormalWeb"/>
        <w:numPr>
          <w:ilvl w:val="0"/>
          <w:numId w:val="22"/>
        </w:numPr>
      </w:pPr>
      <w:proofErr w:type="spellStart"/>
      <w:r w:rsidRPr="00FB2B15">
        <w:t>GemOx</w:t>
      </w:r>
      <w:proofErr w:type="spellEnd"/>
      <w:r w:rsidR="009213A2" w:rsidRPr="00FB2B15">
        <w:t xml:space="preserve"> (gemcitabine, oxaliplatin)</w:t>
      </w:r>
    </w:p>
    <w:p w14:paraId="247E66F8" w14:textId="40B86A75" w:rsidR="00E36B06" w:rsidRPr="00FB2B15" w:rsidRDefault="00E36B06" w:rsidP="00FC570C">
      <w:pPr>
        <w:pStyle w:val="NormalWeb"/>
        <w:numPr>
          <w:ilvl w:val="0"/>
          <w:numId w:val="22"/>
        </w:numPr>
      </w:pPr>
      <w:r w:rsidRPr="00FB2B15">
        <w:t>GDP</w:t>
      </w:r>
      <w:r w:rsidR="009213A2" w:rsidRPr="00FB2B15">
        <w:t xml:space="preserve"> (gemcitabine, dexamethasone, cisplatin)</w:t>
      </w:r>
    </w:p>
    <w:p w14:paraId="56A13D70" w14:textId="3BC2E5D3" w:rsidR="00F47058" w:rsidRPr="00FB2B15" w:rsidRDefault="00F47058" w:rsidP="00FC570C">
      <w:pPr>
        <w:pStyle w:val="NormalWeb"/>
        <w:numPr>
          <w:ilvl w:val="0"/>
          <w:numId w:val="22"/>
        </w:numPr>
      </w:pPr>
      <w:r w:rsidRPr="00FB2B15">
        <w:t>GTX (gemcitabine</w:t>
      </w:r>
      <w:r w:rsidR="00D03056" w:rsidRPr="00FB2B15">
        <w:t>,</w:t>
      </w:r>
      <w:r w:rsidRPr="00FB2B15">
        <w:t xml:space="preserve"> docetaxel</w:t>
      </w:r>
      <w:r w:rsidR="00D03056" w:rsidRPr="00FB2B15">
        <w:t>,</w:t>
      </w:r>
      <w:r w:rsidRPr="00FB2B15">
        <w:t xml:space="preserve"> capecitabine)</w:t>
      </w:r>
    </w:p>
    <w:p w14:paraId="3EF79D6E" w14:textId="1276A905" w:rsidR="007B439B" w:rsidRPr="00FB2B15" w:rsidRDefault="007B439B" w:rsidP="00FC570C">
      <w:pPr>
        <w:pStyle w:val="NormalWeb"/>
        <w:numPr>
          <w:ilvl w:val="0"/>
          <w:numId w:val="22"/>
        </w:numPr>
      </w:pPr>
      <w:proofErr w:type="spellStart"/>
      <w:r w:rsidRPr="00FB2B15">
        <w:t>HiDAC</w:t>
      </w:r>
      <w:proofErr w:type="spellEnd"/>
      <w:r w:rsidR="009213A2" w:rsidRPr="00FB2B15">
        <w:t xml:space="preserve"> (cytarabine)</w:t>
      </w:r>
    </w:p>
    <w:p w14:paraId="63BBDC29" w14:textId="73F48903" w:rsidR="00E36B06" w:rsidRPr="00FB2B15" w:rsidRDefault="00E36B06" w:rsidP="00FC570C">
      <w:pPr>
        <w:pStyle w:val="NormalWeb"/>
        <w:numPr>
          <w:ilvl w:val="0"/>
          <w:numId w:val="22"/>
        </w:numPr>
      </w:pPr>
      <w:proofErr w:type="spellStart"/>
      <w:r w:rsidRPr="00FB2B15">
        <w:t>HyperCVAD</w:t>
      </w:r>
      <w:proofErr w:type="spellEnd"/>
      <w:r w:rsidR="009213A2" w:rsidRPr="00FB2B15">
        <w:t xml:space="preserve"> (cyclophosphamide, doxorubicin, vincristine, dexamethasone)</w:t>
      </w:r>
    </w:p>
    <w:p w14:paraId="32091F6C" w14:textId="4367C943" w:rsidR="00E36B06" w:rsidRPr="00FB2B15" w:rsidRDefault="00E36B06" w:rsidP="00FC570C">
      <w:pPr>
        <w:pStyle w:val="NormalWeb"/>
        <w:numPr>
          <w:ilvl w:val="0"/>
          <w:numId w:val="22"/>
        </w:numPr>
      </w:pPr>
      <w:r w:rsidRPr="00FB2B15">
        <w:t>ICE</w:t>
      </w:r>
      <w:r w:rsidR="009213A2" w:rsidRPr="00FB2B15">
        <w:t xml:space="preserve"> (</w:t>
      </w:r>
      <w:proofErr w:type="spellStart"/>
      <w:r w:rsidR="009213A2" w:rsidRPr="00FB2B15">
        <w:t>ifosfamide</w:t>
      </w:r>
      <w:proofErr w:type="spellEnd"/>
      <w:r w:rsidR="009213A2" w:rsidRPr="00FB2B15">
        <w:t xml:space="preserve">, </w:t>
      </w:r>
      <w:proofErr w:type="spellStart"/>
      <w:r w:rsidR="009213A2" w:rsidRPr="00FB2B15">
        <w:t>mesna</w:t>
      </w:r>
      <w:proofErr w:type="spellEnd"/>
      <w:r w:rsidR="009213A2" w:rsidRPr="00FB2B15">
        <w:t xml:space="preserve">, carboplatin, </w:t>
      </w:r>
      <w:r w:rsidR="008028FD" w:rsidRPr="00FB2B15">
        <w:t>etoposide</w:t>
      </w:r>
      <w:r w:rsidR="009213A2" w:rsidRPr="00FB2B15">
        <w:t>)</w:t>
      </w:r>
    </w:p>
    <w:p w14:paraId="6027FB98" w14:textId="1A50F89C" w:rsidR="00E36B06" w:rsidRPr="00FB2B15" w:rsidRDefault="00E36B06" w:rsidP="00FC570C">
      <w:pPr>
        <w:pStyle w:val="NormalWeb"/>
        <w:numPr>
          <w:ilvl w:val="0"/>
          <w:numId w:val="22"/>
        </w:numPr>
      </w:pPr>
      <w:r w:rsidRPr="00FB2B15">
        <w:t>IROX</w:t>
      </w:r>
      <w:r w:rsidR="008028FD" w:rsidRPr="00FB2B15">
        <w:t xml:space="preserve"> (irinotecan, oxaliplatin)</w:t>
      </w:r>
    </w:p>
    <w:p w14:paraId="782100BD" w14:textId="265A4574" w:rsidR="007B439B" w:rsidRPr="00FB2B15" w:rsidRDefault="007B439B" w:rsidP="00FC570C">
      <w:pPr>
        <w:pStyle w:val="NormalWeb"/>
        <w:numPr>
          <w:ilvl w:val="0"/>
          <w:numId w:val="22"/>
        </w:numPr>
      </w:pPr>
      <w:r w:rsidRPr="00FB2B15">
        <w:t>MAID (</w:t>
      </w:r>
      <w:proofErr w:type="spellStart"/>
      <w:r w:rsidRPr="00FB2B15">
        <w:t>mesna</w:t>
      </w:r>
      <w:proofErr w:type="spellEnd"/>
      <w:r w:rsidRPr="00FB2B15">
        <w:t xml:space="preserve">, doxorubicin, </w:t>
      </w:r>
      <w:proofErr w:type="spellStart"/>
      <w:r w:rsidRPr="00FB2B15">
        <w:t>ifosfamide</w:t>
      </w:r>
      <w:proofErr w:type="spellEnd"/>
      <w:r w:rsidRPr="00FB2B15">
        <w:t>, dacarbazine)</w:t>
      </w:r>
    </w:p>
    <w:p w14:paraId="29BA0D24" w14:textId="00CC32F4" w:rsidR="00E36B06" w:rsidRPr="00FB2B15" w:rsidRDefault="00E36B06" w:rsidP="00FC570C">
      <w:pPr>
        <w:pStyle w:val="NormalWeb"/>
        <w:numPr>
          <w:ilvl w:val="0"/>
          <w:numId w:val="22"/>
        </w:numPr>
      </w:pPr>
      <w:r w:rsidRPr="00FB2B15">
        <w:t>MINE</w:t>
      </w:r>
      <w:r w:rsidR="008028FD" w:rsidRPr="00FB2B15">
        <w:t xml:space="preserve"> (mitoxantrone, </w:t>
      </w:r>
      <w:proofErr w:type="spellStart"/>
      <w:r w:rsidR="008028FD" w:rsidRPr="00FB2B15">
        <w:t>ifosfamide</w:t>
      </w:r>
      <w:proofErr w:type="spellEnd"/>
      <w:r w:rsidR="008028FD" w:rsidRPr="00FB2B15">
        <w:t xml:space="preserve">, </w:t>
      </w:r>
      <w:proofErr w:type="spellStart"/>
      <w:r w:rsidR="008028FD" w:rsidRPr="00FB2B15">
        <w:t>mesna</w:t>
      </w:r>
      <w:proofErr w:type="spellEnd"/>
      <w:r w:rsidR="008028FD" w:rsidRPr="00FB2B15">
        <w:t>, etoposide)</w:t>
      </w:r>
    </w:p>
    <w:p w14:paraId="1AEE2F2A" w14:textId="5D6B459D" w:rsidR="007B439B" w:rsidRPr="00FB2B15" w:rsidRDefault="007B439B" w:rsidP="00FC570C">
      <w:pPr>
        <w:pStyle w:val="NormalWeb"/>
        <w:numPr>
          <w:ilvl w:val="0"/>
          <w:numId w:val="22"/>
        </w:numPr>
      </w:pPr>
      <w:r w:rsidRPr="00FB2B15">
        <w:t>OFAR (oxaliplatin, fludarabine, cytarabine, rituximab)</w:t>
      </w:r>
    </w:p>
    <w:p w14:paraId="5A3009E2" w14:textId="5C2810CD" w:rsidR="00F47058" w:rsidRPr="00FB2B15" w:rsidRDefault="00F47058" w:rsidP="00FC570C">
      <w:pPr>
        <w:pStyle w:val="NormalWeb"/>
        <w:numPr>
          <w:ilvl w:val="0"/>
          <w:numId w:val="22"/>
        </w:numPr>
      </w:pPr>
      <w:r w:rsidRPr="00FB2B15">
        <w:t>OFF (</w:t>
      </w:r>
      <w:r w:rsidR="00065E7D" w:rsidRPr="00FB2B15">
        <w:t>fluorouracil</w:t>
      </w:r>
      <w:r w:rsidR="00D03056" w:rsidRPr="00FB2B15">
        <w:t>,</w:t>
      </w:r>
      <w:r w:rsidRPr="00FB2B15">
        <w:t xml:space="preserve"> leucovorin</w:t>
      </w:r>
      <w:r w:rsidR="00D03056" w:rsidRPr="00FB2B15">
        <w:t>,</w:t>
      </w:r>
      <w:r w:rsidRPr="00FB2B15">
        <w:t xml:space="preserve"> oxaliplatin)</w:t>
      </w:r>
    </w:p>
    <w:p w14:paraId="45484DD8" w14:textId="086CE763" w:rsidR="00E36B06" w:rsidRPr="00FB2B15" w:rsidRDefault="00E36B06" w:rsidP="00FC570C">
      <w:pPr>
        <w:pStyle w:val="NormalWeb"/>
        <w:numPr>
          <w:ilvl w:val="0"/>
          <w:numId w:val="22"/>
        </w:numPr>
      </w:pPr>
      <w:r w:rsidRPr="00FB2B15">
        <w:t>PEPC</w:t>
      </w:r>
      <w:r w:rsidR="00F47058" w:rsidRPr="00FB2B15">
        <w:t xml:space="preserve"> (p</w:t>
      </w:r>
      <w:r w:rsidRPr="00FB2B15">
        <w:t>rednisone, etoposide, procarbazine, cyclophosphamide</w:t>
      </w:r>
      <w:r w:rsidR="00F47058" w:rsidRPr="00FB2B15">
        <w:t>)</w:t>
      </w:r>
    </w:p>
    <w:p w14:paraId="54F580CE" w14:textId="0677D619" w:rsidR="00D03056" w:rsidRPr="00FB2B15" w:rsidRDefault="007B439B" w:rsidP="00FC570C">
      <w:pPr>
        <w:pStyle w:val="NormalWeb"/>
        <w:numPr>
          <w:ilvl w:val="0"/>
          <w:numId w:val="22"/>
        </w:numPr>
      </w:pPr>
      <w:r w:rsidRPr="00FB2B15">
        <w:t xml:space="preserve">PCR </w:t>
      </w:r>
      <w:r w:rsidR="00D03056" w:rsidRPr="00FB2B15">
        <w:t>(</w:t>
      </w:r>
      <w:proofErr w:type="spellStart"/>
      <w:r w:rsidRPr="00FB2B15">
        <w:t>pentostatin</w:t>
      </w:r>
      <w:proofErr w:type="spellEnd"/>
      <w:r w:rsidRPr="00FB2B15">
        <w:t xml:space="preserve"> + cyclophosphamide + rituximab</w:t>
      </w:r>
      <w:r w:rsidR="00D03056" w:rsidRPr="00FB2B15">
        <w:t>)</w:t>
      </w:r>
    </w:p>
    <w:p w14:paraId="0F89E29B" w14:textId="5BA2474C" w:rsidR="00D03056" w:rsidRPr="00FB2B15" w:rsidRDefault="00D03056" w:rsidP="00FC570C">
      <w:pPr>
        <w:pStyle w:val="NormalWeb"/>
        <w:numPr>
          <w:ilvl w:val="0"/>
          <w:numId w:val="22"/>
        </w:numPr>
      </w:pPr>
      <w:r w:rsidRPr="00FB2B15">
        <w:t xml:space="preserve">PCV (procarbazine, </w:t>
      </w:r>
      <w:proofErr w:type="spellStart"/>
      <w:r w:rsidRPr="00FB2B15">
        <w:t>lomustine</w:t>
      </w:r>
      <w:proofErr w:type="spellEnd"/>
      <w:r w:rsidRPr="00FB2B15">
        <w:t>, vincristine)</w:t>
      </w:r>
    </w:p>
    <w:p w14:paraId="67E1F18B" w14:textId="30ECF31C" w:rsidR="00E36B06" w:rsidRPr="00FB2B15" w:rsidRDefault="00E36B06" w:rsidP="00FC570C">
      <w:pPr>
        <w:pStyle w:val="NormalWeb"/>
        <w:numPr>
          <w:ilvl w:val="0"/>
          <w:numId w:val="22"/>
        </w:numPr>
      </w:pPr>
      <w:r w:rsidRPr="00FB2B15">
        <w:t>RBAC</w:t>
      </w:r>
      <w:r w:rsidR="009213A2" w:rsidRPr="00FB2B15">
        <w:t xml:space="preserve"> (rituximab, </w:t>
      </w:r>
      <w:proofErr w:type="spellStart"/>
      <w:r w:rsidR="009213A2" w:rsidRPr="00FB2B15">
        <w:t>bendamustine</w:t>
      </w:r>
      <w:proofErr w:type="spellEnd"/>
      <w:r w:rsidR="009213A2" w:rsidRPr="00FB2B15">
        <w:t>, cytarabine)</w:t>
      </w:r>
    </w:p>
    <w:p w14:paraId="0A1AFA88" w14:textId="3931CA53" w:rsidR="00E36B06" w:rsidRPr="00FB2B15" w:rsidRDefault="00E36B06" w:rsidP="00FC570C">
      <w:pPr>
        <w:pStyle w:val="NormalWeb"/>
        <w:numPr>
          <w:ilvl w:val="0"/>
          <w:numId w:val="22"/>
        </w:numPr>
      </w:pPr>
      <w:r w:rsidRPr="00FB2B15">
        <w:t>RCEOP</w:t>
      </w:r>
      <w:r w:rsidR="00065E7D" w:rsidRPr="00FB2B15">
        <w:t xml:space="preserve"> (rituximab, cyclophosphamide, etoposide, vincristine, prednisone)</w:t>
      </w:r>
    </w:p>
    <w:p w14:paraId="4BB55EF0" w14:textId="3249B45D" w:rsidR="00E36B06" w:rsidRPr="00FB2B15" w:rsidRDefault="00E36B06" w:rsidP="00FC570C">
      <w:pPr>
        <w:pStyle w:val="NormalWeb"/>
        <w:numPr>
          <w:ilvl w:val="0"/>
          <w:numId w:val="22"/>
        </w:numPr>
      </w:pPr>
      <w:r w:rsidRPr="00FB2B15">
        <w:lastRenderedPageBreak/>
        <w:t>RCEPP</w:t>
      </w:r>
      <w:r w:rsidR="00065E7D" w:rsidRPr="00FB2B15">
        <w:t xml:space="preserve"> (rituximab, cyclophosphamide, etoposide, procarbazine, prednisone)</w:t>
      </w:r>
    </w:p>
    <w:p w14:paraId="3D4F39DF" w14:textId="64017E46" w:rsidR="00E36B06" w:rsidRPr="00FB2B15" w:rsidRDefault="00E36B06" w:rsidP="00FC570C">
      <w:pPr>
        <w:pStyle w:val="NormalWeb"/>
        <w:numPr>
          <w:ilvl w:val="0"/>
          <w:numId w:val="22"/>
        </w:numPr>
      </w:pPr>
      <w:r w:rsidRPr="00FB2B15">
        <w:t>RCHOP</w:t>
      </w:r>
      <w:r w:rsidR="00065E7D" w:rsidRPr="00FB2B15">
        <w:t xml:space="preserve"> (rituximab, cyclophosphamide, doxorubicin, vincristine, prednisone)</w:t>
      </w:r>
    </w:p>
    <w:p w14:paraId="0C34B559" w14:textId="4EBA1E70" w:rsidR="00E36B06" w:rsidRPr="00FB2B15" w:rsidRDefault="00E36B06" w:rsidP="00FC570C">
      <w:pPr>
        <w:pStyle w:val="NormalWeb"/>
        <w:numPr>
          <w:ilvl w:val="0"/>
          <w:numId w:val="22"/>
        </w:numPr>
      </w:pPr>
      <w:r w:rsidRPr="00FB2B15">
        <w:t>RCVP</w:t>
      </w:r>
      <w:r w:rsidR="00065E7D" w:rsidRPr="00FB2B15">
        <w:t xml:space="preserve"> (rituximab, cyclophosphamide, vincristine, prednisone)</w:t>
      </w:r>
    </w:p>
    <w:p w14:paraId="41E56FE9" w14:textId="2FD35DBD" w:rsidR="00E36B06" w:rsidRPr="00FB2B15" w:rsidRDefault="00E36B06" w:rsidP="00FC570C">
      <w:pPr>
        <w:pStyle w:val="NormalWeb"/>
        <w:numPr>
          <w:ilvl w:val="0"/>
          <w:numId w:val="22"/>
        </w:numPr>
      </w:pPr>
      <w:r w:rsidRPr="00FB2B15">
        <w:t>RGCVP</w:t>
      </w:r>
      <w:r w:rsidR="00065E7D" w:rsidRPr="00FB2B15">
        <w:t xml:space="preserve"> (rituximab, gemcitabine, cyclophosphamide, vincristine, prednisolone)</w:t>
      </w:r>
    </w:p>
    <w:p w14:paraId="31E598BB" w14:textId="7742510B" w:rsidR="00F47058" w:rsidRPr="00FB2B15" w:rsidRDefault="00F47058" w:rsidP="00FC570C">
      <w:pPr>
        <w:pStyle w:val="NormalWeb"/>
        <w:numPr>
          <w:ilvl w:val="0"/>
          <w:numId w:val="22"/>
        </w:numPr>
      </w:pPr>
      <w:r w:rsidRPr="00FB2B15">
        <w:t>RGDP</w:t>
      </w:r>
      <w:r w:rsidR="009213A2" w:rsidRPr="00FB2B15">
        <w:t xml:space="preserve"> (rituximab, gemcitabine, dexamethasone, cisplatin)</w:t>
      </w:r>
    </w:p>
    <w:p w14:paraId="68FC0587" w14:textId="5FC84E39" w:rsidR="00F47058" w:rsidRPr="00FB2B15" w:rsidRDefault="00F47058" w:rsidP="00FC570C">
      <w:pPr>
        <w:pStyle w:val="NormalWeb"/>
        <w:numPr>
          <w:ilvl w:val="0"/>
          <w:numId w:val="22"/>
        </w:numPr>
      </w:pPr>
      <w:r w:rsidRPr="00FB2B15">
        <w:t>RICE</w:t>
      </w:r>
      <w:r w:rsidR="009213A2" w:rsidRPr="00FB2B15">
        <w:t xml:space="preserve"> (rituximab, </w:t>
      </w:r>
      <w:proofErr w:type="spellStart"/>
      <w:r w:rsidR="009213A2" w:rsidRPr="00FB2B15">
        <w:t>ifosfamide</w:t>
      </w:r>
      <w:proofErr w:type="spellEnd"/>
      <w:r w:rsidR="009213A2" w:rsidRPr="00FB2B15">
        <w:t>, carboplatin, etoposide)</w:t>
      </w:r>
    </w:p>
    <w:p w14:paraId="3F6083F0" w14:textId="2ACBA0FC" w:rsidR="00F47058" w:rsidRPr="00FB2B15" w:rsidRDefault="00F47058" w:rsidP="00FC570C">
      <w:pPr>
        <w:pStyle w:val="NormalWeb"/>
        <w:numPr>
          <w:ilvl w:val="0"/>
          <w:numId w:val="22"/>
        </w:numPr>
      </w:pPr>
      <w:r w:rsidRPr="00FB2B15">
        <w:t>RIVAC</w:t>
      </w:r>
      <w:r w:rsidR="009213A2" w:rsidRPr="00FB2B15">
        <w:t xml:space="preserve"> (rituximab, </w:t>
      </w:r>
      <w:proofErr w:type="spellStart"/>
      <w:r w:rsidR="009213A2" w:rsidRPr="00FB2B15">
        <w:t>ifosfamide</w:t>
      </w:r>
      <w:proofErr w:type="spellEnd"/>
      <w:r w:rsidR="009213A2" w:rsidRPr="00FB2B15">
        <w:t>, cytarabine, etoposide)</w:t>
      </w:r>
    </w:p>
    <w:p w14:paraId="48019BBB" w14:textId="49F2CC0D" w:rsidR="00E36B06" w:rsidRPr="00FB2B15" w:rsidRDefault="00E36B06" w:rsidP="00FC570C">
      <w:pPr>
        <w:pStyle w:val="NormalWeb"/>
        <w:numPr>
          <w:ilvl w:val="0"/>
          <w:numId w:val="22"/>
        </w:numPr>
      </w:pPr>
      <w:r w:rsidRPr="00FB2B15">
        <w:t>TAC</w:t>
      </w:r>
      <w:r w:rsidR="009213A2" w:rsidRPr="00FB2B15">
        <w:t xml:space="preserve"> (doxorubicin, cyclophosphamide, docetaxel)</w:t>
      </w:r>
    </w:p>
    <w:p w14:paraId="6AE6CCDA" w14:textId="6D93A67F" w:rsidR="00E36B06" w:rsidRPr="00FB2B15" w:rsidRDefault="00E36B06" w:rsidP="00FC570C">
      <w:pPr>
        <w:pStyle w:val="NormalWeb"/>
        <w:numPr>
          <w:ilvl w:val="0"/>
          <w:numId w:val="22"/>
        </w:numPr>
      </w:pPr>
      <w:r w:rsidRPr="00FB2B15">
        <w:t>TC</w:t>
      </w:r>
      <w:r w:rsidR="009213A2" w:rsidRPr="00FB2B15">
        <w:t xml:space="preserve"> (docetaxel, cyclophosphamide)</w:t>
      </w:r>
    </w:p>
    <w:p w14:paraId="4C73FC25" w14:textId="6B963047" w:rsidR="00E36B06" w:rsidRPr="00FB2B15" w:rsidRDefault="00E36B06" w:rsidP="00FC570C">
      <w:pPr>
        <w:pStyle w:val="NormalWeb"/>
        <w:numPr>
          <w:ilvl w:val="0"/>
          <w:numId w:val="22"/>
        </w:numPr>
      </w:pPr>
      <w:r w:rsidRPr="00FB2B15">
        <w:t>TCH</w:t>
      </w:r>
      <w:r w:rsidR="009213A2" w:rsidRPr="00FB2B15">
        <w:t xml:space="preserve"> (docetaxel, carboplatin, trastuzumab)</w:t>
      </w:r>
    </w:p>
    <w:p w14:paraId="2A2F1F7E" w14:textId="471A85DB" w:rsidR="007B439B" w:rsidRPr="00FB2B15" w:rsidRDefault="007B439B" w:rsidP="00FC570C">
      <w:pPr>
        <w:pStyle w:val="NormalWeb"/>
        <w:numPr>
          <w:ilvl w:val="0"/>
          <w:numId w:val="22"/>
        </w:numPr>
      </w:pPr>
      <w:r w:rsidRPr="00FB2B15">
        <w:t xml:space="preserve">TI-CE (paclitaxel, </w:t>
      </w:r>
      <w:proofErr w:type="spellStart"/>
      <w:r w:rsidRPr="00FB2B15">
        <w:t>ifosfamide</w:t>
      </w:r>
      <w:proofErr w:type="spellEnd"/>
      <w:r w:rsidRPr="00FB2B15">
        <w:t xml:space="preserve">, </w:t>
      </w:r>
      <w:proofErr w:type="spellStart"/>
      <w:r w:rsidRPr="00FB2B15">
        <w:t>mesna</w:t>
      </w:r>
      <w:proofErr w:type="spellEnd"/>
      <w:r w:rsidRPr="00FB2B15">
        <w:t>)</w:t>
      </w:r>
    </w:p>
    <w:p w14:paraId="09A8A76D" w14:textId="74BD7269" w:rsidR="00A24CC9" w:rsidRPr="00FB2B15" w:rsidRDefault="00D03056" w:rsidP="00A24CC9">
      <w:pPr>
        <w:pStyle w:val="NormalWeb"/>
        <w:numPr>
          <w:ilvl w:val="0"/>
          <w:numId w:val="22"/>
        </w:numPr>
      </w:pPr>
      <w:r w:rsidRPr="00FB2B15">
        <w:t xml:space="preserve">TIP (paclitaxel, </w:t>
      </w:r>
      <w:proofErr w:type="spellStart"/>
      <w:r w:rsidRPr="00FB2B15">
        <w:t>ifosfamide</w:t>
      </w:r>
      <w:proofErr w:type="spellEnd"/>
      <w:r w:rsidRPr="00FB2B15">
        <w:t xml:space="preserve">, </w:t>
      </w:r>
      <w:proofErr w:type="spellStart"/>
      <w:r w:rsidR="007B439B" w:rsidRPr="00FB2B15">
        <w:t>mesna</w:t>
      </w:r>
      <w:proofErr w:type="spellEnd"/>
      <w:r w:rsidR="007B439B" w:rsidRPr="00FB2B15">
        <w:t xml:space="preserve"> </w:t>
      </w:r>
      <w:r w:rsidRPr="00FB2B15">
        <w:t>cisplatin)</w:t>
      </w:r>
    </w:p>
    <w:p w14:paraId="48A074FD" w14:textId="24B86192" w:rsidR="00D03056" w:rsidRPr="00FB2B15" w:rsidRDefault="00D03056" w:rsidP="00FC570C">
      <w:pPr>
        <w:pStyle w:val="NormalWeb"/>
        <w:numPr>
          <w:ilvl w:val="0"/>
          <w:numId w:val="22"/>
        </w:numPr>
      </w:pPr>
      <w:r w:rsidRPr="00FB2B15">
        <w:t>TMZ (temozolomide)</w:t>
      </w:r>
    </w:p>
    <w:p w14:paraId="5083F33B" w14:textId="4E003038" w:rsidR="00D03056" w:rsidRPr="00FB2B15" w:rsidRDefault="00D03056" w:rsidP="00FC570C">
      <w:pPr>
        <w:pStyle w:val="NormalWeb"/>
        <w:numPr>
          <w:ilvl w:val="0"/>
          <w:numId w:val="22"/>
        </w:numPr>
      </w:pPr>
      <w:r w:rsidRPr="00FB2B15">
        <w:t>VAC (vincristine, dactinomycin, cyclophosphamide)</w:t>
      </w:r>
    </w:p>
    <w:p w14:paraId="7E3EE18C" w14:textId="366390D7" w:rsidR="00D03056" w:rsidRPr="00FB2B15" w:rsidRDefault="00D03056" w:rsidP="00FC570C">
      <w:pPr>
        <w:pStyle w:val="NormalWeb"/>
        <w:numPr>
          <w:ilvl w:val="0"/>
          <w:numId w:val="22"/>
        </w:numPr>
      </w:pPr>
      <w:proofErr w:type="spellStart"/>
      <w:r w:rsidRPr="00FB2B15">
        <w:t>VeIP</w:t>
      </w:r>
      <w:proofErr w:type="spellEnd"/>
      <w:r w:rsidRPr="00FB2B15">
        <w:t xml:space="preserve"> (vinblastine, </w:t>
      </w:r>
      <w:proofErr w:type="spellStart"/>
      <w:r w:rsidRPr="00FB2B15">
        <w:t>ifosfamide</w:t>
      </w:r>
      <w:proofErr w:type="spellEnd"/>
      <w:r w:rsidRPr="00FB2B15">
        <w:t>, cisplatin)</w:t>
      </w:r>
    </w:p>
    <w:p w14:paraId="03119907" w14:textId="0FADCA39" w:rsidR="00A24CC9" w:rsidRDefault="00230BAB" w:rsidP="00230BAB">
      <w:pPr>
        <w:numPr>
          <w:ilvl w:val="0"/>
          <w:numId w:val="22"/>
        </w:numPr>
        <w:rPr>
          <w:rFonts w:ascii="Calibri" w:hAnsi="Calibri" w:cs="Calibri"/>
        </w:rPr>
      </w:pPr>
      <w:r w:rsidRPr="00230BAB">
        <w:rPr>
          <w:rFonts w:ascii="Calibri" w:hAnsi="Calibri" w:cs="Calibri"/>
        </w:rPr>
        <w:t xml:space="preserve">VIP (etoposide, </w:t>
      </w:r>
      <w:proofErr w:type="spellStart"/>
      <w:r w:rsidRPr="00230BAB">
        <w:rPr>
          <w:rFonts w:ascii="Calibri" w:hAnsi="Calibri" w:cs="Calibri"/>
        </w:rPr>
        <w:t>ifosfamide</w:t>
      </w:r>
      <w:proofErr w:type="spellEnd"/>
      <w:r w:rsidRPr="00230BAB">
        <w:rPr>
          <w:rFonts w:ascii="Calibri" w:hAnsi="Calibri" w:cs="Calibri"/>
        </w:rPr>
        <w:t xml:space="preserve">, </w:t>
      </w:r>
      <w:proofErr w:type="spellStart"/>
      <w:r w:rsidRPr="00230BAB">
        <w:rPr>
          <w:rFonts w:ascii="Calibri" w:hAnsi="Calibri" w:cs="Calibri"/>
        </w:rPr>
        <w:t>mesna</w:t>
      </w:r>
      <w:proofErr w:type="spellEnd"/>
      <w:r w:rsidRPr="00230BAB">
        <w:rPr>
          <w:rFonts w:ascii="Calibri" w:hAnsi="Calibri" w:cs="Calibri"/>
        </w:rPr>
        <w:t>, cisplatin)VR-CAP (cyclophosphamide, doxorubicin, bortezomib, prednisone, rituximab)</w:t>
      </w:r>
    </w:p>
    <w:p w14:paraId="0A5BF932" w14:textId="6A76F5DC" w:rsidR="003F2652" w:rsidRDefault="001E4800">
      <w:pPr>
        <w:numPr>
          <w:ilvl w:val="0"/>
          <w:numId w:val="0"/>
        </w:numPr>
        <w:spacing w:after="160" w:line="259" w:lineRule="auto"/>
        <w:rPr>
          <w:rFonts w:ascii="Calibri" w:hAnsi="Calibri" w:cs="Calibri"/>
        </w:rPr>
      </w:pPr>
      <w:r>
        <w:rPr>
          <w:rFonts w:asciiTheme="minorHAnsi" w:hAnsiTheme="minorHAnsi" w:cstheme="minorHAnsi"/>
          <w:sz w:val="16"/>
          <w:szCs w:val="16"/>
        </w:rPr>
        <w:br w:type="page"/>
      </w:r>
    </w:p>
    <w:p w14:paraId="0F33D58E" w14:textId="191EE82F" w:rsidR="003F2652" w:rsidRPr="003F2652" w:rsidRDefault="003F2652" w:rsidP="003F2652">
      <w:pPr>
        <w:pStyle w:val="Heading1"/>
        <w:numPr>
          <w:ilvl w:val="0"/>
          <w:numId w:val="0"/>
        </w:numPr>
        <w:rPr>
          <w:rFonts w:ascii="Arial" w:hAnsi="Arial" w:cs="Arial"/>
          <w:color w:val="auto"/>
          <w:u w:val="single"/>
        </w:rPr>
      </w:pPr>
      <w:bookmarkStart w:id="27" w:name="_Toc194582594"/>
      <w:r w:rsidRPr="003F2652">
        <w:rPr>
          <w:rFonts w:ascii="Arial" w:hAnsi="Arial" w:cs="Arial"/>
          <w:color w:val="auto"/>
          <w:u w:val="single"/>
        </w:rPr>
        <w:lastRenderedPageBreak/>
        <w:t>Initial NCCN Evidence Blocks appearance and inclusion in Framework files for each cancer type</w:t>
      </w:r>
      <w:bookmarkEnd w:id="27"/>
      <w:r w:rsidRPr="003F2652">
        <w:rPr>
          <w:rFonts w:ascii="Arial" w:hAnsi="Arial" w:cs="Arial"/>
          <w:color w:val="auto"/>
          <w:u w:val="single"/>
        </w:rPr>
        <w:t xml:space="preserve"> </w:t>
      </w:r>
    </w:p>
    <w:p w14:paraId="03438DA5" w14:textId="49C46A6E" w:rsidR="003F2652" w:rsidRDefault="003F2652">
      <w:pPr>
        <w:numPr>
          <w:ilvl w:val="0"/>
          <w:numId w:val="0"/>
        </w:numPr>
        <w:spacing w:after="160" w:line="259" w:lineRule="auto"/>
        <w:rPr>
          <w:rFonts w:ascii="Calibri" w:hAnsi="Calibri" w:cs="Calibri"/>
        </w:rPr>
      </w:pPr>
      <w:r w:rsidRPr="003F2652">
        <w:rPr>
          <w:rFonts w:ascii="Calibri" w:hAnsi="Calibri" w:cs="Calibri"/>
        </w:rPr>
        <w:t>NCCN first developed and published Evidence Blocks-containing guidelines asynchronously for each cancer type. Our general process was to start including a cancer type in the Framework Files if it was presented in the NCCN Evidence Blocks for any portion of the subsequent 6 month period. For example, if NCCN Evidence blocks were first published for a given cancer type in March 2016, that cancer would be included in the January 2016</w:t>
      </w:r>
    </w:p>
    <w:tbl>
      <w:tblPr>
        <w:tblStyle w:val="TableGrid"/>
        <w:tblpPr w:leftFromText="180" w:rightFromText="180" w:vertAnchor="page" w:horzAnchor="margin" w:tblpY="3708"/>
        <w:tblW w:w="0" w:type="auto"/>
        <w:tblLook w:val="04A0" w:firstRow="1" w:lastRow="0" w:firstColumn="1" w:lastColumn="0" w:noHBand="0" w:noVBand="1"/>
      </w:tblPr>
      <w:tblGrid>
        <w:gridCol w:w="4045"/>
        <w:gridCol w:w="2880"/>
        <w:gridCol w:w="2425"/>
      </w:tblGrid>
      <w:tr w:rsidR="003F2652" w14:paraId="627FE085" w14:textId="77777777" w:rsidTr="003F2652">
        <w:trPr>
          <w:trHeight w:val="440"/>
        </w:trPr>
        <w:tc>
          <w:tcPr>
            <w:tcW w:w="4045" w:type="dxa"/>
            <w:shd w:val="clear" w:color="auto" w:fill="D0CECE" w:themeFill="background2" w:themeFillShade="E6"/>
            <w:vAlign w:val="center"/>
          </w:tcPr>
          <w:p w14:paraId="2E074D4B" w14:textId="77777777" w:rsidR="003F2652" w:rsidRPr="005D1B5B" w:rsidRDefault="003F2652" w:rsidP="003F2652">
            <w:pPr>
              <w:numPr>
                <w:ilvl w:val="0"/>
                <w:numId w:val="0"/>
              </w:numPr>
              <w:rPr>
                <w:b/>
                <w:bCs/>
                <w:sz w:val="20"/>
                <w:szCs w:val="20"/>
              </w:rPr>
            </w:pPr>
            <w:r w:rsidRPr="005D1B5B">
              <w:rPr>
                <w:b/>
                <w:bCs/>
                <w:sz w:val="20"/>
                <w:szCs w:val="20"/>
              </w:rPr>
              <w:t>Cancer Type</w:t>
            </w:r>
          </w:p>
        </w:tc>
        <w:tc>
          <w:tcPr>
            <w:tcW w:w="2880" w:type="dxa"/>
            <w:shd w:val="clear" w:color="auto" w:fill="D0CECE" w:themeFill="background2" w:themeFillShade="E6"/>
            <w:vAlign w:val="center"/>
          </w:tcPr>
          <w:p w14:paraId="692D0D16" w14:textId="77777777" w:rsidR="003F2652" w:rsidRPr="005D1B5B" w:rsidRDefault="003F2652" w:rsidP="003F2652">
            <w:pPr>
              <w:numPr>
                <w:ilvl w:val="0"/>
                <w:numId w:val="0"/>
              </w:numPr>
              <w:ind w:left="360"/>
              <w:rPr>
                <w:b/>
                <w:bCs/>
                <w:sz w:val="20"/>
                <w:szCs w:val="20"/>
              </w:rPr>
            </w:pPr>
            <w:r w:rsidRPr="005D1B5B">
              <w:rPr>
                <w:b/>
                <w:bCs/>
                <w:sz w:val="20"/>
                <w:szCs w:val="20"/>
              </w:rPr>
              <w:t xml:space="preserve">NCCN Evidence Blocks </w:t>
            </w:r>
          </w:p>
        </w:tc>
        <w:tc>
          <w:tcPr>
            <w:tcW w:w="2425" w:type="dxa"/>
            <w:shd w:val="clear" w:color="auto" w:fill="D0CECE" w:themeFill="background2" w:themeFillShade="E6"/>
            <w:vAlign w:val="center"/>
          </w:tcPr>
          <w:p w14:paraId="005BF2D7" w14:textId="77777777" w:rsidR="003F2652" w:rsidRPr="005D1B5B" w:rsidRDefault="003F2652" w:rsidP="003F2652">
            <w:pPr>
              <w:numPr>
                <w:ilvl w:val="0"/>
                <w:numId w:val="0"/>
              </w:numPr>
              <w:ind w:left="360"/>
              <w:rPr>
                <w:b/>
                <w:bCs/>
                <w:sz w:val="20"/>
                <w:szCs w:val="20"/>
              </w:rPr>
            </w:pPr>
            <w:r>
              <w:rPr>
                <w:b/>
                <w:bCs/>
                <w:sz w:val="20"/>
                <w:szCs w:val="20"/>
              </w:rPr>
              <w:t>Framework File</w:t>
            </w:r>
            <w:r w:rsidRPr="005D1B5B">
              <w:rPr>
                <w:b/>
                <w:bCs/>
                <w:sz w:val="20"/>
                <w:szCs w:val="20"/>
              </w:rPr>
              <w:t xml:space="preserve"> </w:t>
            </w:r>
          </w:p>
        </w:tc>
      </w:tr>
      <w:tr w:rsidR="003F2652" w14:paraId="6B4ADF39" w14:textId="77777777" w:rsidTr="003F2652">
        <w:trPr>
          <w:trHeight w:val="317"/>
        </w:trPr>
        <w:tc>
          <w:tcPr>
            <w:tcW w:w="4045" w:type="dxa"/>
            <w:vAlign w:val="center"/>
          </w:tcPr>
          <w:p w14:paraId="5ED533EB"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Breast</w:t>
            </w:r>
          </w:p>
        </w:tc>
        <w:tc>
          <w:tcPr>
            <w:tcW w:w="2880" w:type="dxa"/>
            <w:vAlign w:val="center"/>
          </w:tcPr>
          <w:p w14:paraId="3435B249"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March 2016</w:t>
            </w:r>
          </w:p>
        </w:tc>
        <w:tc>
          <w:tcPr>
            <w:tcW w:w="2425" w:type="dxa"/>
            <w:vAlign w:val="center"/>
          </w:tcPr>
          <w:p w14:paraId="0B05744A"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January 2016</w:t>
            </w:r>
          </w:p>
        </w:tc>
      </w:tr>
      <w:tr w:rsidR="003F2652" w14:paraId="3CFDFB45" w14:textId="77777777" w:rsidTr="003F2652">
        <w:trPr>
          <w:trHeight w:val="317"/>
        </w:trPr>
        <w:tc>
          <w:tcPr>
            <w:tcW w:w="4045" w:type="dxa"/>
            <w:shd w:val="clear" w:color="auto" w:fill="E7E6E6" w:themeFill="background2"/>
            <w:vAlign w:val="center"/>
          </w:tcPr>
          <w:p w14:paraId="32626B38"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Chronic Myeloid Leukemia (CML)</w:t>
            </w:r>
          </w:p>
        </w:tc>
        <w:tc>
          <w:tcPr>
            <w:tcW w:w="2880" w:type="dxa"/>
            <w:shd w:val="clear" w:color="auto" w:fill="E7E6E6" w:themeFill="background2"/>
            <w:vAlign w:val="center"/>
          </w:tcPr>
          <w:p w14:paraId="04B81133"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October 2015</w:t>
            </w:r>
          </w:p>
        </w:tc>
        <w:tc>
          <w:tcPr>
            <w:tcW w:w="2425" w:type="dxa"/>
            <w:shd w:val="clear" w:color="auto" w:fill="E7E6E6" w:themeFill="background2"/>
            <w:vAlign w:val="center"/>
          </w:tcPr>
          <w:p w14:paraId="24787A71"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January 2016</w:t>
            </w:r>
          </w:p>
        </w:tc>
      </w:tr>
      <w:tr w:rsidR="003F2652" w14:paraId="69F9D8FE" w14:textId="77777777" w:rsidTr="003F2652">
        <w:trPr>
          <w:trHeight w:val="317"/>
        </w:trPr>
        <w:tc>
          <w:tcPr>
            <w:tcW w:w="4045" w:type="dxa"/>
            <w:vAlign w:val="center"/>
          </w:tcPr>
          <w:p w14:paraId="769D6513"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Colon</w:t>
            </w:r>
          </w:p>
        </w:tc>
        <w:tc>
          <w:tcPr>
            <w:tcW w:w="2880" w:type="dxa"/>
            <w:vAlign w:val="center"/>
          </w:tcPr>
          <w:p w14:paraId="0F3B7008"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March 2016</w:t>
            </w:r>
          </w:p>
        </w:tc>
        <w:tc>
          <w:tcPr>
            <w:tcW w:w="2425" w:type="dxa"/>
            <w:vAlign w:val="center"/>
          </w:tcPr>
          <w:p w14:paraId="7645AC8F"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January 2016</w:t>
            </w:r>
          </w:p>
        </w:tc>
      </w:tr>
      <w:tr w:rsidR="003F2652" w14:paraId="4BAA2271" w14:textId="77777777" w:rsidTr="003F2652">
        <w:trPr>
          <w:trHeight w:val="317"/>
        </w:trPr>
        <w:tc>
          <w:tcPr>
            <w:tcW w:w="4045" w:type="dxa"/>
            <w:shd w:val="clear" w:color="auto" w:fill="E7E6E6" w:themeFill="background2"/>
          </w:tcPr>
          <w:p w14:paraId="3106699B" w14:textId="77777777" w:rsidR="003F2652" w:rsidRPr="005D1B5B" w:rsidRDefault="003F2652" w:rsidP="003F2652">
            <w:pPr>
              <w:numPr>
                <w:ilvl w:val="0"/>
                <w:numId w:val="0"/>
              </w:numPr>
              <w:rPr>
                <w:rFonts w:asciiTheme="minorHAnsi" w:hAnsiTheme="minorHAnsi" w:cstheme="minorHAnsi"/>
                <w:sz w:val="20"/>
                <w:szCs w:val="20"/>
              </w:rPr>
            </w:pPr>
            <w:r w:rsidRPr="005D1B5B">
              <w:rPr>
                <w:rFonts w:asciiTheme="minorHAnsi" w:hAnsiTheme="minorHAnsi" w:cstheme="minorHAnsi"/>
                <w:sz w:val="20"/>
                <w:szCs w:val="20"/>
              </w:rPr>
              <w:t>Hepatobiliary (Gallbladder, Liver, Pancreas</w:t>
            </w:r>
            <w:r w:rsidRPr="005D1B5B">
              <w:rPr>
                <w:rFonts w:asciiTheme="minorHAnsi" w:hAnsiTheme="minorHAnsi" w:cstheme="minorHAnsi"/>
                <w:sz w:val="20"/>
                <w:szCs w:val="20"/>
                <w:vertAlign w:val="superscript"/>
              </w:rPr>
              <w:t>1</w:t>
            </w:r>
            <w:r w:rsidRPr="005D1B5B">
              <w:rPr>
                <w:rFonts w:asciiTheme="minorHAnsi" w:hAnsiTheme="minorHAnsi" w:cstheme="minorHAnsi"/>
                <w:sz w:val="20"/>
                <w:szCs w:val="20"/>
              </w:rPr>
              <w:t>)</w:t>
            </w:r>
          </w:p>
        </w:tc>
        <w:tc>
          <w:tcPr>
            <w:tcW w:w="2880" w:type="dxa"/>
            <w:shd w:val="clear" w:color="auto" w:fill="E7E6E6" w:themeFill="background2"/>
          </w:tcPr>
          <w:p w14:paraId="5E0E3746" w14:textId="77777777" w:rsidR="003F2652" w:rsidRPr="005D1B5B" w:rsidRDefault="003F2652" w:rsidP="003F2652">
            <w:pPr>
              <w:numPr>
                <w:ilvl w:val="0"/>
                <w:numId w:val="0"/>
              </w:numPr>
              <w:ind w:left="360"/>
              <w:jc w:val="right"/>
              <w:rPr>
                <w:rFonts w:asciiTheme="minorHAnsi" w:hAnsiTheme="minorHAnsi" w:cstheme="minorHAnsi"/>
                <w:sz w:val="20"/>
                <w:szCs w:val="20"/>
              </w:rPr>
            </w:pPr>
            <w:r w:rsidRPr="005D1B5B">
              <w:rPr>
                <w:rFonts w:asciiTheme="minorHAnsi" w:hAnsiTheme="minorHAnsi" w:cstheme="minorHAnsi"/>
                <w:sz w:val="20"/>
                <w:szCs w:val="20"/>
              </w:rPr>
              <w:t>May 2016</w:t>
            </w:r>
          </w:p>
        </w:tc>
        <w:tc>
          <w:tcPr>
            <w:tcW w:w="2425" w:type="dxa"/>
            <w:shd w:val="clear" w:color="auto" w:fill="E7E6E6" w:themeFill="background2"/>
          </w:tcPr>
          <w:p w14:paraId="626B5BB5" w14:textId="77777777" w:rsidR="003F2652" w:rsidRPr="005D1B5B" w:rsidRDefault="003F2652" w:rsidP="003F2652">
            <w:pPr>
              <w:numPr>
                <w:ilvl w:val="0"/>
                <w:numId w:val="0"/>
              </w:numPr>
              <w:ind w:left="360"/>
              <w:jc w:val="right"/>
              <w:rPr>
                <w:rFonts w:asciiTheme="minorHAnsi" w:hAnsiTheme="minorHAnsi" w:cstheme="minorHAnsi"/>
                <w:sz w:val="20"/>
                <w:szCs w:val="20"/>
              </w:rPr>
            </w:pPr>
            <w:r w:rsidRPr="005D1B5B">
              <w:rPr>
                <w:rFonts w:asciiTheme="minorHAnsi" w:hAnsiTheme="minorHAnsi" w:cstheme="minorHAnsi"/>
                <w:sz w:val="20"/>
                <w:szCs w:val="20"/>
              </w:rPr>
              <w:t>January 2016</w:t>
            </w:r>
          </w:p>
        </w:tc>
      </w:tr>
      <w:tr w:rsidR="003F2652" w14:paraId="5D5CB918" w14:textId="77777777" w:rsidTr="003F2652">
        <w:trPr>
          <w:trHeight w:val="317"/>
        </w:trPr>
        <w:tc>
          <w:tcPr>
            <w:tcW w:w="4045" w:type="dxa"/>
            <w:vAlign w:val="center"/>
          </w:tcPr>
          <w:p w14:paraId="58F83446"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Kidney</w:t>
            </w:r>
          </w:p>
        </w:tc>
        <w:tc>
          <w:tcPr>
            <w:tcW w:w="2880" w:type="dxa"/>
            <w:vAlign w:val="center"/>
          </w:tcPr>
          <w:p w14:paraId="44FA387F"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December 2015</w:t>
            </w:r>
          </w:p>
        </w:tc>
        <w:tc>
          <w:tcPr>
            <w:tcW w:w="2425" w:type="dxa"/>
            <w:vAlign w:val="center"/>
          </w:tcPr>
          <w:p w14:paraId="4E563C86"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January 2016</w:t>
            </w:r>
          </w:p>
        </w:tc>
      </w:tr>
      <w:tr w:rsidR="003F2652" w14:paraId="35441C45" w14:textId="77777777" w:rsidTr="003F2652">
        <w:trPr>
          <w:trHeight w:val="317"/>
        </w:trPr>
        <w:tc>
          <w:tcPr>
            <w:tcW w:w="4045" w:type="dxa"/>
            <w:shd w:val="clear" w:color="auto" w:fill="E7E6E6" w:themeFill="background2"/>
            <w:vAlign w:val="center"/>
          </w:tcPr>
          <w:p w14:paraId="4935B472"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Melanoma</w:t>
            </w:r>
          </w:p>
        </w:tc>
        <w:tc>
          <w:tcPr>
            <w:tcW w:w="2880" w:type="dxa"/>
            <w:shd w:val="clear" w:color="auto" w:fill="E7E6E6" w:themeFill="background2"/>
            <w:vAlign w:val="center"/>
          </w:tcPr>
          <w:p w14:paraId="2C585461"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March 2016</w:t>
            </w:r>
          </w:p>
        </w:tc>
        <w:tc>
          <w:tcPr>
            <w:tcW w:w="2425" w:type="dxa"/>
            <w:shd w:val="clear" w:color="auto" w:fill="E7E6E6" w:themeFill="background2"/>
            <w:vAlign w:val="center"/>
          </w:tcPr>
          <w:p w14:paraId="53A9D458"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January 2016</w:t>
            </w:r>
          </w:p>
        </w:tc>
      </w:tr>
      <w:tr w:rsidR="003F2652" w14:paraId="07143BEA" w14:textId="77777777" w:rsidTr="003F2652">
        <w:trPr>
          <w:trHeight w:val="317"/>
        </w:trPr>
        <w:tc>
          <w:tcPr>
            <w:tcW w:w="4045" w:type="dxa"/>
            <w:shd w:val="clear" w:color="auto" w:fill="auto"/>
            <w:vAlign w:val="center"/>
          </w:tcPr>
          <w:p w14:paraId="10FD56EA"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Myeloma</w:t>
            </w:r>
          </w:p>
        </w:tc>
        <w:tc>
          <w:tcPr>
            <w:tcW w:w="2880" w:type="dxa"/>
            <w:shd w:val="clear" w:color="auto" w:fill="auto"/>
            <w:vAlign w:val="center"/>
          </w:tcPr>
          <w:p w14:paraId="61FC0C4C"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October 2015</w:t>
            </w:r>
          </w:p>
        </w:tc>
        <w:tc>
          <w:tcPr>
            <w:tcW w:w="2425" w:type="dxa"/>
            <w:shd w:val="clear" w:color="auto" w:fill="auto"/>
            <w:vAlign w:val="center"/>
          </w:tcPr>
          <w:p w14:paraId="1D70AFC8"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January 2016</w:t>
            </w:r>
          </w:p>
        </w:tc>
      </w:tr>
      <w:tr w:rsidR="003F2652" w14:paraId="157E5A97" w14:textId="77777777" w:rsidTr="003F2652">
        <w:trPr>
          <w:trHeight w:val="317"/>
        </w:trPr>
        <w:tc>
          <w:tcPr>
            <w:tcW w:w="4045" w:type="dxa"/>
            <w:shd w:val="clear" w:color="auto" w:fill="E7E6E6" w:themeFill="background2"/>
            <w:vAlign w:val="center"/>
          </w:tcPr>
          <w:p w14:paraId="2E4B3296"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Non-Small Cell Lung (NSCL)</w:t>
            </w:r>
          </w:p>
        </w:tc>
        <w:tc>
          <w:tcPr>
            <w:tcW w:w="2880" w:type="dxa"/>
            <w:shd w:val="clear" w:color="auto" w:fill="E7E6E6" w:themeFill="background2"/>
            <w:vAlign w:val="center"/>
          </w:tcPr>
          <w:p w14:paraId="15E06F46"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March 2016</w:t>
            </w:r>
          </w:p>
        </w:tc>
        <w:tc>
          <w:tcPr>
            <w:tcW w:w="2425" w:type="dxa"/>
            <w:shd w:val="clear" w:color="auto" w:fill="E7E6E6" w:themeFill="background2"/>
            <w:vAlign w:val="center"/>
          </w:tcPr>
          <w:p w14:paraId="5E198E8B"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January 2016</w:t>
            </w:r>
          </w:p>
        </w:tc>
      </w:tr>
      <w:tr w:rsidR="003F2652" w14:paraId="70428F7F" w14:textId="77777777" w:rsidTr="003F2652">
        <w:trPr>
          <w:trHeight w:val="317"/>
        </w:trPr>
        <w:tc>
          <w:tcPr>
            <w:tcW w:w="4045" w:type="dxa"/>
            <w:shd w:val="clear" w:color="auto" w:fill="auto"/>
            <w:vAlign w:val="center"/>
          </w:tcPr>
          <w:p w14:paraId="2B662281"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Prostate</w:t>
            </w:r>
          </w:p>
        </w:tc>
        <w:tc>
          <w:tcPr>
            <w:tcW w:w="2880" w:type="dxa"/>
            <w:shd w:val="clear" w:color="auto" w:fill="auto"/>
            <w:vAlign w:val="center"/>
          </w:tcPr>
          <w:p w14:paraId="08468BEE"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April 2016</w:t>
            </w:r>
          </w:p>
        </w:tc>
        <w:tc>
          <w:tcPr>
            <w:tcW w:w="2425" w:type="dxa"/>
            <w:shd w:val="clear" w:color="auto" w:fill="auto"/>
            <w:vAlign w:val="center"/>
          </w:tcPr>
          <w:p w14:paraId="1572CD81"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January 2016</w:t>
            </w:r>
          </w:p>
        </w:tc>
      </w:tr>
      <w:tr w:rsidR="003F2652" w14:paraId="5A0F525B" w14:textId="77777777" w:rsidTr="003F2652">
        <w:trPr>
          <w:trHeight w:val="317"/>
        </w:trPr>
        <w:tc>
          <w:tcPr>
            <w:tcW w:w="4045" w:type="dxa"/>
            <w:shd w:val="clear" w:color="auto" w:fill="E7E6E6" w:themeFill="background2"/>
            <w:vAlign w:val="center"/>
          </w:tcPr>
          <w:p w14:paraId="4487FFD6"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Rectum</w:t>
            </w:r>
          </w:p>
        </w:tc>
        <w:tc>
          <w:tcPr>
            <w:tcW w:w="2880" w:type="dxa"/>
            <w:shd w:val="clear" w:color="auto" w:fill="E7E6E6" w:themeFill="background2"/>
            <w:vAlign w:val="center"/>
          </w:tcPr>
          <w:p w14:paraId="306E8298"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March 2016</w:t>
            </w:r>
          </w:p>
        </w:tc>
        <w:tc>
          <w:tcPr>
            <w:tcW w:w="2425" w:type="dxa"/>
            <w:shd w:val="clear" w:color="auto" w:fill="E7E6E6" w:themeFill="background2"/>
            <w:vAlign w:val="center"/>
          </w:tcPr>
          <w:p w14:paraId="1A94D07F"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January 2016</w:t>
            </w:r>
          </w:p>
        </w:tc>
      </w:tr>
      <w:tr w:rsidR="003F2652" w14:paraId="1CE8EC16" w14:textId="77777777" w:rsidTr="003F2652">
        <w:trPr>
          <w:trHeight w:val="317"/>
        </w:trPr>
        <w:tc>
          <w:tcPr>
            <w:tcW w:w="4045" w:type="dxa"/>
            <w:shd w:val="clear" w:color="auto" w:fill="auto"/>
            <w:vAlign w:val="center"/>
          </w:tcPr>
          <w:p w14:paraId="18D74C12"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 xml:space="preserve">Brain </w:t>
            </w:r>
          </w:p>
        </w:tc>
        <w:tc>
          <w:tcPr>
            <w:tcW w:w="2880" w:type="dxa"/>
            <w:shd w:val="clear" w:color="auto" w:fill="auto"/>
            <w:vAlign w:val="center"/>
          </w:tcPr>
          <w:p w14:paraId="168E0E4E"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September 2016</w:t>
            </w:r>
          </w:p>
        </w:tc>
        <w:tc>
          <w:tcPr>
            <w:tcW w:w="2425" w:type="dxa"/>
            <w:shd w:val="clear" w:color="auto" w:fill="auto"/>
            <w:vAlign w:val="center"/>
          </w:tcPr>
          <w:p w14:paraId="62C78FEA"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July 2016</w:t>
            </w:r>
          </w:p>
        </w:tc>
      </w:tr>
      <w:tr w:rsidR="003F2652" w14:paraId="56B393F7" w14:textId="77777777" w:rsidTr="003F2652">
        <w:trPr>
          <w:trHeight w:val="317"/>
        </w:trPr>
        <w:tc>
          <w:tcPr>
            <w:tcW w:w="4045" w:type="dxa"/>
            <w:shd w:val="clear" w:color="auto" w:fill="E7E6E6" w:themeFill="background2"/>
            <w:vAlign w:val="center"/>
          </w:tcPr>
          <w:p w14:paraId="2EB5C6EF"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Chronic Lymphocytic Leukemia (CLL)</w:t>
            </w:r>
          </w:p>
        </w:tc>
        <w:tc>
          <w:tcPr>
            <w:tcW w:w="2880" w:type="dxa"/>
            <w:shd w:val="clear" w:color="auto" w:fill="E7E6E6" w:themeFill="background2"/>
            <w:vAlign w:val="center"/>
          </w:tcPr>
          <w:p w14:paraId="0E9D887B"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December 2016</w:t>
            </w:r>
          </w:p>
        </w:tc>
        <w:tc>
          <w:tcPr>
            <w:tcW w:w="2425" w:type="dxa"/>
            <w:shd w:val="clear" w:color="auto" w:fill="E7E6E6" w:themeFill="background2"/>
            <w:vAlign w:val="center"/>
          </w:tcPr>
          <w:p w14:paraId="4C899F5D"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July 2016</w:t>
            </w:r>
          </w:p>
        </w:tc>
      </w:tr>
      <w:tr w:rsidR="003F2652" w14:paraId="1410EF7D" w14:textId="77777777" w:rsidTr="003F2652">
        <w:trPr>
          <w:trHeight w:val="317"/>
        </w:trPr>
        <w:tc>
          <w:tcPr>
            <w:tcW w:w="4045" w:type="dxa"/>
            <w:shd w:val="clear" w:color="auto" w:fill="auto"/>
            <w:vAlign w:val="center"/>
          </w:tcPr>
          <w:p w14:paraId="42405B20"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Head &amp; Neck</w:t>
            </w:r>
          </w:p>
        </w:tc>
        <w:tc>
          <w:tcPr>
            <w:tcW w:w="2880" w:type="dxa"/>
            <w:shd w:val="clear" w:color="auto" w:fill="auto"/>
            <w:vAlign w:val="center"/>
          </w:tcPr>
          <w:p w14:paraId="39F49FC9"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August 2016</w:t>
            </w:r>
          </w:p>
        </w:tc>
        <w:tc>
          <w:tcPr>
            <w:tcW w:w="2425" w:type="dxa"/>
            <w:shd w:val="clear" w:color="auto" w:fill="auto"/>
            <w:vAlign w:val="center"/>
          </w:tcPr>
          <w:p w14:paraId="78A2AE98"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July 2016</w:t>
            </w:r>
          </w:p>
        </w:tc>
      </w:tr>
      <w:tr w:rsidR="003F2652" w14:paraId="0E197D71" w14:textId="77777777" w:rsidTr="003F2652">
        <w:trPr>
          <w:trHeight w:val="317"/>
        </w:trPr>
        <w:tc>
          <w:tcPr>
            <w:tcW w:w="4045" w:type="dxa"/>
            <w:shd w:val="clear" w:color="auto" w:fill="E7E6E6" w:themeFill="background2"/>
            <w:vAlign w:val="center"/>
          </w:tcPr>
          <w:p w14:paraId="68C04209"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Ovarian</w:t>
            </w:r>
          </w:p>
        </w:tc>
        <w:tc>
          <w:tcPr>
            <w:tcW w:w="2880" w:type="dxa"/>
            <w:shd w:val="clear" w:color="auto" w:fill="E7E6E6" w:themeFill="background2"/>
            <w:vAlign w:val="center"/>
          </w:tcPr>
          <w:p w14:paraId="32B232E1"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August 2016</w:t>
            </w:r>
          </w:p>
        </w:tc>
        <w:tc>
          <w:tcPr>
            <w:tcW w:w="2425" w:type="dxa"/>
            <w:shd w:val="clear" w:color="auto" w:fill="E7E6E6" w:themeFill="background2"/>
            <w:vAlign w:val="center"/>
          </w:tcPr>
          <w:p w14:paraId="7956B2E2"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July 2016</w:t>
            </w:r>
          </w:p>
        </w:tc>
      </w:tr>
      <w:tr w:rsidR="003F2652" w14:paraId="2F42B346" w14:textId="77777777" w:rsidTr="003F2652">
        <w:trPr>
          <w:trHeight w:val="317"/>
        </w:trPr>
        <w:tc>
          <w:tcPr>
            <w:tcW w:w="4045" w:type="dxa"/>
            <w:shd w:val="clear" w:color="auto" w:fill="auto"/>
            <w:vAlign w:val="center"/>
          </w:tcPr>
          <w:p w14:paraId="02EE1CEA"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Small-Cell Lung</w:t>
            </w:r>
          </w:p>
        </w:tc>
        <w:tc>
          <w:tcPr>
            <w:tcW w:w="2880" w:type="dxa"/>
            <w:shd w:val="clear" w:color="auto" w:fill="auto"/>
            <w:vAlign w:val="center"/>
          </w:tcPr>
          <w:p w14:paraId="03D7EDB7"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October 2016</w:t>
            </w:r>
          </w:p>
        </w:tc>
        <w:tc>
          <w:tcPr>
            <w:tcW w:w="2425" w:type="dxa"/>
            <w:shd w:val="clear" w:color="auto" w:fill="auto"/>
            <w:vAlign w:val="center"/>
          </w:tcPr>
          <w:p w14:paraId="0DC73B82"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July 2016</w:t>
            </w:r>
          </w:p>
        </w:tc>
      </w:tr>
      <w:tr w:rsidR="003F2652" w14:paraId="58323410" w14:textId="77777777" w:rsidTr="003F2652">
        <w:trPr>
          <w:trHeight w:val="317"/>
        </w:trPr>
        <w:tc>
          <w:tcPr>
            <w:tcW w:w="4045" w:type="dxa"/>
            <w:shd w:val="clear" w:color="auto" w:fill="E7E6E6" w:themeFill="background2"/>
            <w:vAlign w:val="center"/>
          </w:tcPr>
          <w:p w14:paraId="2CE452D8" w14:textId="77777777" w:rsidR="003F2652" w:rsidRPr="005D1B5B" w:rsidRDefault="003F2652" w:rsidP="003F2652">
            <w:pPr>
              <w:numPr>
                <w:ilvl w:val="0"/>
                <w:numId w:val="0"/>
              </w:numPr>
              <w:rPr>
                <w:rFonts w:asciiTheme="minorHAnsi" w:hAnsiTheme="minorHAnsi" w:cstheme="minorHAnsi"/>
                <w:sz w:val="20"/>
                <w:szCs w:val="20"/>
              </w:rPr>
            </w:pPr>
            <w:r w:rsidRPr="005D1B5B">
              <w:rPr>
                <w:rFonts w:asciiTheme="minorHAnsi" w:hAnsiTheme="minorHAnsi" w:cstheme="minorHAnsi"/>
                <w:sz w:val="20"/>
                <w:szCs w:val="20"/>
              </w:rPr>
              <w:t>Gastric (Stomach, Esophagus)</w:t>
            </w:r>
          </w:p>
        </w:tc>
        <w:tc>
          <w:tcPr>
            <w:tcW w:w="2880" w:type="dxa"/>
            <w:shd w:val="clear" w:color="auto" w:fill="E7E6E6" w:themeFill="background2"/>
            <w:vAlign w:val="center"/>
          </w:tcPr>
          <w:p w14:paraId="4E4AF276"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September 2016</w:t>
            </w:r>
          </w:p>
        </w:tc>
        <w:tc>
          <w:tcPr>
            <w:tcW w:w="2425" w:type="dxa"/>
            <w:shd w:val="clear" w:color="auto" w:fill="E7E6E6" w:themeFill="background2"/>
            <w:vAlign w:val="center"/>
          </w:tcPr>
          <w:p w14:paraId="2C446DBA"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July 2016</w:t>
            </w:r>
          </w:p>
        </w:tc>
      </w:tr>
      <w:tr w:rsidR="003F2652" w14:paraId="3DBD1CFA" w14:textId="77777777" w:rsidTr="003F2652">
        <w:trPr>
          <w:trHeight w:val="317"/>
        </w:trPr>
        <w:tc>
          <w:tcPr>
            <w:tcW w:w="4045" w:type="dxa"/>
            <w:shd w:val="clear" w:color="auto" w:fill="auto"/>
            <w:vAlign w:val="center"/>
          </w:tcPr>
          <w:p w14:paraId="19042C32"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Cervical</w:t>
            </w:r>
          </w:p>
        </w:tc>
        <w:tc>
          <w:tcPr>
            <w:tcW w:w="2880" w:type="dxa"/>
            <w:shd w:val="clear" w:color="auto" w:fill="auto"/>
            <w:vAlign w:val="center"/>
          </w:tcPr>
          <w:p w14:paraId="50204099"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January 2017</w:t>
            </w:r>
          </w:p>
        </w:tc>
        <w:tc>
          <w:tcPr>
            <w:tcW w:w="2425" w:type="dxa"/>
            <w:shd w:val="clear" w:color="auto" w:fill="auto"/>
            <w:vAlign w:val="center"/>
          </w:tcPr>
          <w:p w14:paraId="005AFD89"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January 2017</w:t>
            </w:r>
          </w:p>
        </w:tc>
      </w:tr>
      <w:tr w:rsidR="003F2652" w14:paraId="62920F6B" w14:textId="77777777" w:rsidTr="003F2652">
        <w:trPr>
          <w:trHeight w:val="317"/>
        </w:trPr>
        <w:tc>
          <w:tcPr>
            <w:tcW w:w="4045" w:type="dxa"/>
            <w:shd w:val="clear" w:color="auto" w:fill="E7E6E6" w:themeFill="background2"/>
            <w:vAlign w:val="center"/>
          </w:tcPr>
          <w:p w14:paraId="1B0D831B"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Pancreas</w:t>
            </w:r>
          </w:p>
        </w:tc>
        <w:tc>
          <w:tcPr>
            <w:tcW w:w="2880" w:type="dxa"/>
            <w:shd w:val="clear" w:color="auto" w:fill="E7E6E6" w:themeFill="background2"/>
            <w:vAlign w:val="center"/>
          </w:tcPr>
          <w:p w14:paraId="706B7454"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April 2017</w:t>
            </w:r>
          </w:p>
        </w:tc>
        <w:tc>
          <w:tcPr>
            <w:tcW w:w="2425" w:type="dxa"/>
            <w:shd w:val="clear" w:color="auto" w:fill="E7E6E6" w:themeFill="background2"/>
            <w:vAlign w:val="center"/>
          </w:tcPr>
          <w:p w14:paraId="655AAC54"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January 2017</w:t>
            </w:r>
          </w:p>
        </w:tc>
      </w:tr>
      <w:tr w:rsidR="003F2652" w14:paraId="2E789AAF" w14:textId="77777777" w:rsidTr="003F2652">
        <w:trPr>
          <w:trHeight w:val="317"/>
        </w:trPr>
        <w:tc>
          <w:tcPr>
            <w:tcW w:w="4045" w:type="dxa"/>
            <w:shd w:val="clear" w:color="auto" w:fill="auto"/>
            <w:vAlign w:val="center"/>
          </w:tcPr>
          <w:p w14:paraId="18667435"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Uterine</w:t>
            </w:r>
          </w:p>
        </w:tc>
        <w:tc>
          <w:tcPr>
            <w:tcW w:w="2880" w:type="dxa"/>
            <w:shd w:val="clear" w:color="auto" w:fill="auto"/>
            <w:vAlign w:val="center"/>
          </w:tcPr>
          <w:p w14:paraId="2D84E428"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April 2017</w:t>
            </w:r>
          </w:p>
        </w:tc>
        <w:tc>
          <w:tcPr>
            <w:tcW w:w="2425" w:type="dxa"/>
            <w:shd w:val="clear" w:color="auto" w:fill="auto"/>
            <w:vAlign w:val="center"/>
          </w:tcPr>
          <w:p w14:paraId="5E319045"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January 2017</w:t>
            </w:r>
          </w:p>
        </w:tc>
      </w:tr>
      <w:tr w:rsidR="003F2652" w14:paraId="45B44B0A" w14:textId="77777777" w:rsidTr="003F2652">
        <w:trPr>
          <w:trHeight w:val="317"/>
        </w:trPr>
        <w:tc>
          <w:tcPr>
            <w:tcW w:w="4045" w:type="dxa"/>
            <w:shd w:val="clear" w:color="auto" w:fill="E7E6E6" w:themeFill="background2"/>
            <w:vAlign w:val="center"/>
          </w:tcPr>
          <w:p w14:paraId="63D2E977"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Bladder</w:t>
            </w:r>
          </w:p>
        </w:tc>
        <w:tc>
          <w:tcPr>
            <w:tcW w:w="2880" w:type="dxa"/>
            <w:shd w:val="clear" w:color="auto" w:fill="E7E6E6" w:themeFill="background2"/>
            <w:vAlign w:val="center"/>
          </w:tcPr>
          <w:p w14:paraId="2D53556B"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Jul7 2017</w:t>
            </w:r>
          </w:p>
        </w:tc>
        <w:tc>
          <w:tcPr>
            <w:tcW w:w="2425" w:type="dxa"/>
            <w:shd w:val="clear" w:color="auto" w:fill="E7E6E6" w:themeFill="background2"/>
            <w:vAlign w:val="center"/>
          </w:tcPr>
          <w:p w14:paraId="7100C5E1"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July 2017</w:t>
            </w:r>
          </w:p>
        </w:tc>
      </w:tr>
      <w:tr w:rsidR="003F2652" w14:paraId="7D60B0FC" w14:textId="77777777" w:rsidTr="003F2652">
        <w:trPr>
          <w:trHeight w:val="317"/>
        </w:trPr>
        <w:tc>
          <w:tcPr>
            <w:tcW w:w="4045" w:type="dxa"/>
            <w:shd w:val="clear" w:color="auto" w:fill="auto"/>
            <w:vAlign w:val="center"/>
          </w:tcPr>
          <w:p w14:paraId="30AF93AD"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Esophagus</w:t>
            </w:r>
            <w:r w:rsidRPr="005D1B5B">
              <w:rPr>
                <w:rFonts w:asciiTheme="minorHAnsi" w:hAnsiTheme="minorHAnsi" w:cstheme="minorHAnsi"/>
                <w:sz w:val="20"/>
                <w:szCs w:val="20"/>
                <w:vertAlign w:val="superscript"/>
              </w:rPr>
              <w:t>2</w:t>
            </w:r>
          </w:p>
        </w:tc>
        <w:tc>
          <w:tcPr>
            <w:tcW w:w="2880" w:type="dxa"/>
            <w:shd w:val="clear" w:color="auto" w:fill="auto"/>
            <w:vAlign w:val="center"/>
          </w:tcPr>
          <w:p w14:paraId="5AC133E8"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August 2017</w:t>
            </w:r>
          </w:p>
        </w:tc>
        <w:tc>
          <w:tcPr>
            <w:tcW w:w="2425" w:type="dxa"/>
            <w:shd w:val="clear" w:color="auto" w:fill="auto"/>
            <w:vAlign w:val="center"/>
          </w:tcPr>
          <w:p w14:paraId="40F11FE0"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July 2017</w:t>
            </w:r>
          </w:p>
        </w:tc>
      </w:tr>
      <w:tr w:rsidR="003F2652" w14:paraId="504040A5" w14:textId="77777777" w:rsidTr="003F2652">
        <w:trPr>
          <w:trHeight w:val="317"/>
        </w:trPr>
        <w:tc>
          <w:tcPr>
            <w:tcW w:w="4045" w:type="dxa"/>
            <w:shd w:val="clear" w:color="auto" w:fill="E7E6E6" w:themeFill="background2"/>
            <w:vAlign w:val="center"/>
          </w:tcPr>
          <w:p w14:paraId="0172A0DF"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Hodgkin Lymphoma</w:t>
            </w:r>
          </w:p>
        </w:tc>
        <w:tc>
          <w:tcPr>
            <w:tcW w:w="2880" w:type="dxa"/>
            <w:shd w:val="clear" w:color="auto" w:fill="E7E6E6" w:themeFill="background2"/>
            <w:vAlign w:val="center"/>
          </w:tcPr>
          <w:p w14:paraId="25923F17"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July 2017</w:t>
            </w:r>
          </w:p>
        </w:tc>
        <w:tc>
          <w:tcPr>
            <w:tcW w:w="2425" w:type="dxa"/>
            <w:shd w:val="clear" w:color="auto" w:fill="E7E6E6" w:themeFill="background2"/>
            <w:vAlign w:val="center"/>
          </w:tcPr>
          <w:p w14:paraId="768B120C"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January 2018</w:t>
            </w:r>
          </w:p>
        </w:tc>
      </w:tr>
      <w:tr w:rsidR="003F2652" w14:paraId="53DB4F22" w14:textId="77777777" w:rsidTr="003F2652">
        <w:trPr>
          <w:trHeight w:val="317"/>
        </w:trPr>
        <w:tc>
          <w:tcPr>
            <w:tcW w:w="4045" w:type="dxa"/>
            <w:shd w:val="clear" w:color="auto" w:fill="auto"/>
            <w:vAlign w:val="center"/>
          </w:tcPr>
          <w:p w14:paraId="4BFCD9ED"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Sarcoma (Soft Tissue, GIST)</w:t>
            </w:r>
          </w:p>
        </w:tc>
        <w:tc>
          <w:tcPr>
            <w:tcW w:w="2880" w:type="dxa"/>
            <w:shd w:val="clear" w:color="auto" w:fill="auto"/>
            <w:vAlign w:val="center"/>
          </w:tcPr>
          <w:p w14:paraId="3E4126B9"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June 2017</w:t>
            </w:r>
          </w:p>
        </w:tc>
        <w:tc>
          <w:tcPr>
            <w:tcW w:w="2425" w:type="dxa"/>
            <w:shd w:val="clear" w:color="auto" w:fill="auto"/>
            <w:vAlign w:val="center"/>
          </w:tcPr>
          <w:p w14:paraId="647767F0"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July 2017</w:t>
            </w:r>
          </w:p>
        </w:tc>
      </w:tr>
      <w:tr w:rsidR="003F2652" w14:paraId="120DA882" w14:textId="77777777" w:rsidTr="003F2652">
        <w:trPr>
          <w:trHeight w:val="317"/>
        </w:trPr>
        <w:tc>
          <w:tcPr>
            <w:tcW w:w="4045" w:type="dxa"/>
            <w:shd w:val="clear" w:color="auto" w:fill="E7E6E6" w:themeFill="background2"/>
            <w:vAlign w:val="center"/>
          </w:tcPr>
          <w:p w14:paraId="1F77A93D" w14:textId="77777777" w:rsidR="003F2652" w:rsidRPr="005D1B5B" w:rsidRDefault="003F2652" w:rsidP="003F2652">
            <w:pPr>
              <w:numPr>
                <w:ilvl w:val="0"/>
                <w:numId w:val="0"/>
              </w:numPr>
              <w:rPr>
                <w:rFonts w:asciiTheme="minorHAnsi" w:hAnsiTheme="minorHAnsi" w:cstheme="minorHAnsi"/>
                <w:sz w:val="20"/>
                <w:szCs w:val="20"/>
              </w:rPr>
            </w:pPr>
            <w:r w:rsidRPr="005D1B5B">
              <w:rPr>
                <w:rFonts w:asciiTheme="minorHAnsi" w:hAnsiTheme="minorHAnsi" w:cstheme="minorHAnsi"/>
                <w:sz w:val="20"/>
                <w:szCs w:val="20"/>
              </w:rPr>
              <w:t>Anal</w:t>
            </w:r>
          </w:p>
        </w:tc>
        <w:tc>
          <w:tcPr>
            <w:tcW w:w="2880" w:type="dxa"/>
            <w:shd w:val="clear" w:color="auto" w:fill="E7E6E6" w:themeFill="background2"/>
            <w:vAlign w:val="center"/>
          </w:tcPr>
          <w:p w14:paraId="4CA4537D" w14:textId="77777777" w:rsidR="003F2652" w:rsidRPr="005D1B5B" w:rsidRDefault="003F2652" w:rsidP="003F2652">
            <w:pPr>
              <w:numPr>
                <w:ilvl w:val="0"/>
                <w:numId w:val="0"/>
              </w:numPr>
              <w:ind w:left="360"/>
              <w:jc w:val="right"/>
              <w:rPr>
                <w:rFonts w:asciiTheme="minorHAnsi" w:hAnsiTheme="minorHAnsi" w:cstheme="minorHAnsi"/>
                <w:sz w:val="20"/>
                <w:szCs w:val="20"/>
              </w:rPr>
            </w:pPr>
            <w:r w:rsidRPr="005D1B5B">
              <w:rPr>
                <w:rFonts w:asciiTheme="minorHAnsi" w:hAnsiTheme="minorHAnsi" w:cstheme="minorHAnsi"/>
                <w:sz w:val="20"/>
                <w:szCs w:val="20"/>
              </w:rPr>
              <w:t>March 2017</w:t>
            </w:r>
          </w:p>
        </w:tc>
        <w:tc>
          <w:tcPr>
            <w:tcW w:w="2425" w:type="dxa"/>
            <w:shd w:val="clear" w:color="auto" w:fill="E7E6E6" w:themeFill="background2"/>
            <w:vAlign w:val="center"/>
          </w:tcPr>
          <w:p w14:paraId="5723C371" w14:textId="77777777" w:rsidR="003F2652" w:rsidRPr="005D1B5B" w:rsidRDefault="003F2652" w:rsidP="003F2652">
            <w:pPr>
              <w:numPr>
                <w:ilvl w:val="0"/>
                <w:numId w:val="0"/>
              </w:numPr>
              <w:ind w:left="360"/>
              <w:jc w:val="right"/>
              <w:rPr>
                <w:rFonts w:asciiTheme="minorHAnsi" w:hAnsiTheme="minorHAnsi" w:cstheme="minorHAnsi"/>
                <w:sz w:val="20"/>
                <w:szCs w:val="20"/>
              </w:rPr>
            </w:pPr>
            <w:r w:rsidRPr="005D1B5B">
              <w:rPr>
                <w:rFonts w:asciiTheme="minorHAnsi" w:hAnsiTheme="minorHAnsi" w:cstheme="minorHAnsi"/>
                <w:sz w:val="20"/>
                <w:szCs w:val="20"/>
              </w:rPr>
              <w:t>July 2017</w:t>
            </w:r>
          </w:p>
        </w:tc>
      </w:tr>
      <w:tr w:rsidR="003F2652" w14:paraId="21895346" w14:textId="77777777" w:rsidTr="003F2652">
        <w:trPr>
          <w:trHeight w:val="317"/>
        </w:trPr>
        <w:tc>
          <w:tcPr>
            <w:tcW w:w="4045" w:type="dxa"/>
            <w:shd w:val="clear" w:color="auto" w:fill="auto"/>
            <w:vAlign w:val="center"/>
          </w:tcPr>
          <w:p w14:paraId="310650A1"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Non-Hodgkin’s Lymphoma (NHL, B-cell)</w:t>
            </w:r>
          </w:p>
        </w:tc>
        <w:tc>
          <w:tcPr>
            <w:tcW w:w="2880" w:type="dxa"/>
            <w:shd w:val="clear" w:color="auto" w:fill="auto"/>
            <w:vAlign w:val="center"/>
          </w:tcPr>
          <w:p w14:paraId="5A4FFC50"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February 2016</w:t>
            </w:r>
          </w:p>
        </w:tc>
        <w:tc>
          <w:tcPr>
            <w:tcW w:w="2425" w:type="dxa"/>
            <w:shd w:val="clear" w:color="auto" w:fill="auto"/>
            <w:vAlign w:val="center"/>
          </w:tcPr>
          <w:p w14:paraId="498F825F"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July 2016</w:t>
            </w:r>
          </w:p>
        </w:tc>
      </w:tr>
      <w:tr w:rsidR="003F2652" w14:paraId="6B83ED90" w14:textId="77777777" w:rsidTr="003F2652">
        <w:trPr>
          <w:trHeight w:val="317"/>
        </w:trPr>
        <w:tc>
          <w:tcPr>
            <w:tcW w:w="4045" w:type="dxa"/>
            <w:shd w:val="clear" w:color="auto" w:fill="E7E6E6" w:themeFill="background2"/>
            <w:vAlign w:val="center"/>
          </w:tcPr>
          <w:p w14:paraId="2C4C7953" w14:textId="77777777" w:rsidR="003F2652" w:rsidRPr="005D1B5B" w:rsidRDefault="003F2652" w:rsidP="003F2652">
            <w:pPr>
              <w:numPr>
                <w:ilvl w:val="0"/>
                <w:numId w:val="0"/>
              </w:numPr>
              <w:rPr>
                <w:rFonts w:asciiTheme="minorHAnsi" w:hAnsiTheme="minorHAnsi" w:cstheme="minorHAnsi"/>
                <w:sz w:val="20"/>
                <w:szCs w:val="20"/>
              </w:rPr>
            </w:pPr>
            <w:r w:rsidRPr="005D1B5B">
              <w:rPr>
                <w:rFonts w:asciiTheme="minorHAnsi" w:hAnsiTheme="minorHAnsi" w:cstheme="minorHAnsi"/>
                <w:sz w:val="20"/>
                <w:szCs w:val="20"/>
              </w:rPr>
              <w:t>Acute Myeloid Leukemia (AML)</w:t>
            </w:r>
          </w:p>
        </w:tc>
        <w:tc>
          <w:tcPr>
            <w:tcW w:w="2880" w:type="dxa"/>
            <w:shd w:val="clear" w:color="auto" w:fill="E7E6E6" w:themeFill="background2"/>
            <w:vAlign w:val="center"/>
          </w:tcPr>
          <w:p w14:paraId="0CD73747" w14:textId="77777777" w:rsidR="003F2652" w:rsidRPr="005D1B5B" w:rsidRDefault="003F2652" w:rsidP="003F2652">
            <w:pPr>
              <w:numPr>
                <w:ilvl w:val="0"/>
                <w:numId w:val="0"/>
              </w:numPr>
              <w:ind w:left="360"/>
              <w:jc w:val="right"/>
              <w:rPr>
                <w:rFonts w:asciiTheme="minorHAnsi" w:hAnsiTheme="minorHAnsi" w:cstheme="minorHAnsi"/>
                <w:sz w:val="20"/>
                <w:szCs w:val="20"/>
              </w:rPr>
            </w:pPr>
            <w:r w:rsidRPr="005D1B5B">
              <w:rPr>
                <w:rFonts w:asciiTheme="minorHAnsi" w:hAnsiTheme="minorHAnsi" w:cstheme="minorHAnsi"/>
                <w:sz w:val="20"/>
                <w:szCs w:val="20"/>
              </w:rPr>
              <w:t>May 2019</w:t>
            </w:r>
          </w:p>
        </w:tc>
        <w:tc>
          <w:tcPr>
            <w:tcW w:w="2425" w:type="dxa"/>
            <w:shd w:val="clear" w:color="auto" w:fill="E7E6E6" w:themeFill="background2"/>
            <w:vAlign w:val="center"/>
          </w:tcPr>
          <w:p w14:paraId="37705544" w14:textId="77777777" w:rsidR="003F2652" w:rsidRPr="005D1B5B" w:rsidRDefault="003F2652" w:rsidP="003F2652">
            <w:pPr>
              <w:numPr>
                <w:ilvl w:val="0"/>
                <w:numId w:val="0"/>
              </w:numPr>
              <w:ind w:left="360"/>
              <w:jc w:val="right"/>
              <w:rPr>
                <w:rFonts w:asciiTheme="minorHAnsi" w:hAnsiTheme="minorHAnsi" w:cstheme="minorHAnsi"/>
                <w:sz w:val="20"/>
                <w:szCs w:val="20"/>
              </w:rPr>
            </w:pPr>
            <w:r w:rsidRPr="005D1B5B">
              <w:rPr>
                <w:rFonts w:asciiTheme="minorHAnsi" w:hAnsiTheme="minorHAnsi" w:cstheme="minorHAnsi"/>
                <w:sz w:val="20"/>
                <w:szCs w:val="20"/>
              </w:rPr>
              <w:t>July 2019</w:t>
            </w:r>
          </w:p>
        </w:tc>
      </w:tr>
      <w:tr w:rsidR="003F2652" w14:paraId="5AE9A908" w14:textId="77777777" w:rsidTr="003F2652">
        <w:trPr>
          <w:trHeight w:val="317"/>
        </w:trPr>
        <w:tc>
          <w:tcPr>
            <w:tcW w:w="4045" w:type="dxa"/>
            <w:shd w:val="clear" w:color="auto" w:fill="auto"/>
            <w:vAlign w:val="center"/>
          </w:tcPr>
          <w:p w14:paraId="3F3DA1AD" w14:textId="77777777" w:rsidR="003F2652" w:rsidRPr="005D1B5B" w:rsidRDefault="003F2652" w:rsidP="003F2652">
            <w:pPr>
              <w:numPr>
                <w:ilvl w:val="0"/>
                <w:numId w:val="0"/>
              </w:numPr>
              <w:rPr>
                <w:rFonts w:asciiTheme="minorHAnsi" w:hAnsiTheme="minorHAnsi" w:cstheme="minorHAnsi"/>
                <w:bCs/>
                <w:i/>
                <w:iCs/>
                <w:sz w:val="20"/>
                <w:szCs w:val="20"/>
              </w:rPr>
            </w:pPr>
            <w:r w:rsidRPr="005D1B5B">
              <w:rPr>
                <w:rFonts w:asciiTheme="minorHAnsi" w:hAnsiTheme="minorHAnsi" w:cstheme="minorHAnsi"/>
                <w:sz w:val="20"/>
                <w:szCs w:val="20"/>
              </w:rPr>
              <w:t>Testis</w:t>
            </w:r>
          </w:p>
        </w:tc>
        <w:tc>
          <w:tcPr>
            <w:tcW w:w="2880" w:type="dxa"/>
            <w:shd w:val="clear" w:color="auto" w:fill="auto"/>
            <w:vAlign w:val="center"/>
          </w:tcPr>
          <w:p w14:paraId="3A704722"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August 2016</w:t>
            </w:r>
          </w:p>
        </w:tc>
        <w:tc>
          <w:tcPr>
            <w:tcW w:w="2425" w:type="dxa"/>
            <w:shd w:val="clear" w:color="auto" w:fill="auto"/>
            <w:vAlign w:val="center"/>
          </w:tcPr>
          <w:p w14:paraId="0065C2AA" w14:textId="77777777" w:rsidR="003F2652" w:rsidRPr="005D1B5B" w:rsidRDefault="003F2652" w:rsidP="003F2652">
            <w:pPr>
              <w:numPr>
                <w:ilvl w:val="0"/>
                <w:numId w:val="0"/>
              </w:numPr>
              <w:ind w:left="360"/>
              <w:jc w:val="right"/>
              <w:rPr>
                <w:rFonts w:asciiTheme="minorHAnsi" w:hAnsiTheme="minorHAnsi" w:cstheme="minorHAnsi"/>
                <w:bCs/>
                <w:sz w:val="20"/>
                <w:szCs w:val="20"/>
              </w:rPr>
            </w:pPr>
            <w:r w:rsidRPr="005D1B5B">
              <w:rPr>
                <w:rFonts w:asciiTheme="minorHAnsi" w:hAnsiTheme="minorHAnsi" w:cstheme="minorHAnsi"/>
                <w:sz w:val="20"/>
                <w:szCs w:val="20"/>
              </w:rPr>
              <w:t>January 2017</w:t>
            </w:r>
          </w:p>
        </w:tc>
      </w:tr>
    </w:tbl>
    <w:p w14:paraId="38878C92" w14:textId="3F4B5073" w:rsidR="003F2652" w:rsidRPr="003F2652" w:rsidRDefault="003F2652" w:rsidP="003F2652">
      <w:pPr>
        <w:numPr>
          <w:ilvl w:val="0"/>
          <w:numId w:val="0"/>
        </w:numPr>
        <w:spacing w:after="160" w:line="259" w:lineRule="auto"/>
        <w:rPr>
          <w:sz w:val="16"/>
          <w:szCs w:val="16"/>
        </w:rPr>
      </w:pPr>
      <w:r w:rsidRPr="003F2652">
        <w:rPr>
          <w:sz w:val="16"/>
          <w:szCs w:val="16"/>
          <w:vertAlign w:val="superscript"/>
        </w:rPr>
        <w:t>1</w:t>
      </w:r>
      <w:r w:rsidRPr="003F2652">
        <w:rPr>
          <w:sz w:val="16"/>
          <w:szCs w:val="16"/>
        </w:rPr>
        <w:t xml:space="preserve"> Pancreas was originally included within Hepatobiliary guidelines until the NCCN created its own guideline in April 2017</w:t>
      </w:r>
      <w:r w:rsidRPr="003F2652">
        <w:rPr>
          <w:sz w:val="16"/>
          <w:szCs w:val="16"/>
        </w:rPr>
        <w:br/>
      </w:r>
      <w:r w:rsidRPr="003F2652">
        <w:rPr>
          <w:sz w:val="16"/>
          <w:szCs w:val="16"/>
          <w:vertAlign w:val="superscript"/>
        </w:rPr>
        <w:t>2</w:t>
      </w:r>
      <w:r w:rsidRPr="003F2652">
        <w:rPr>
          <w:sz w:val="16"/>
          <w:szCs w:val="16"/>
        </w:rPr>
        <w:t xml:space="preserve"> Esophagus was originally included within Gastric guidelines until the NCCN created its own guideline in August 2017</w:t>
      </w:r>
    </w:p>
    <w:p w14:paraId="067ECF6F" w14:textId="77777777" w:rsidR="003F2652" w:rsidRDefault="003F2652">
      <w:pPr>
        <w:numPr>
          <w:ilvl w:val="0"/>
          <w:numId w:val="0"/>
        </w:numPr>
        <w:spacing w:after="160" w:line="259" w:lineRule="auto"/>
        <w:rPr>
          <w:rFonts w:ascii="Calibri" w:hAnsi="Calibri" w:cs="Calibri"/>
        </w:rPr>
      </w:pPr>
    </w:p>
    <w:p w14:paraId="715E22C2" w14:textId="6C015663" w:rsidR="001E4800" w:rsidRPr="00A24CC9" w:rsidRDefault="001E4800" w:rsidP="00A24CC9">
      <w:pPr>
        <w:pStyle w:val="Heading1"/>
        <w:numPr>
          <w:ilvl w:val="0"/>
          <w:numId w:val="0"/>
        </w:numPr>
        <w:rPr>
          <w:rFonts w:ascii="Arial" w:hAnsi="Arial" w:cs="Arial"/>
          <w:color w:val="auto"/>
          <w:u w:val="single"/>
        </w:rPr>
      </w:pPr>
      <w:bookmarkStart w:id="28" w:name="_Toc194582595"/>
      <w:r w:rsidRPr="00A24CC9">
        <w:rPr>
          <w:rFonts w:ascii="Arial" w:hAnsi="Arial" w:cs="Arial"/>
          <w:color w:val="auto"/>
          <w:u w:val="single"/>
        </w:rPr>
        <w:lastRenderedPageBreak/>
        <w:t>Peer-reviewed studies using Framework</w:t>
      </w:r>
      <w:bookmarkEnd w:id="28"/>
    </w:p>
    <w:p w14:paraId="5E8A5D7D" w14:textId="77777777" w:rsidR="001E4800" w:rsidRDefault="001E4800" w:rsidP="005D1B5B">
      <w:pPr>
        <w:numPr>
          <w:ilvl w:val="0"/>
          <w:numId w:val="0"/>
        </w:numPr>
      </w:pPr>
    </w:p>
    <w:p w14:paraId="06935C6D" w14:textId="5F9B10CF" w:rsidR="001E4800" w:rsidRDefault="001E4800" w:rsidP="005D1B5B">
      <w:pPr>
        <w:numPr>
          <w:ilvl w:val="0"/>
          <w:numId w:val="0"/>
        </w:numPr>
      </w:pPr>
      <w:r w:rsidRPr="001E4800">
        <w:t>The Accuracy and Usefulness of the National Comprehensive Cancer Network Evidence Blocks Affordability Rating</w:t>
      </w:r>
      <w:r>
        <w:t xml:space="preserve">. </w:t>
      </w:r>
      <w:r w:rsidRPr="001E4800">
        <w:t>Mitchell AP, Dey P, Ohn JA, Tabatabai SM, Curry MA, Bach PB.</w:t>
      </w:r>
      <w:r>
        <w:t xml:space="preserve"> </w:t>
      </w:r>
      <w:r w:rsidRPr="001E4800">
        <w:t xml:space="preserve">Pharmacoeconomics. 2020 Jul;38(7):737-745. </w:t>
      </w:r>
      <w:proofErr w:type="spellStart"/>
      <w:r w:rsidRPr="001E4800">
        <w:t>doi</w:t>
      </w:r>
      <w:proofErr w:type="spellEnd"/>
      <w:r w:rsidRPr="001E4800">
        <w:t>: 10.1007/s40273-020-00901-x.</w:t>
      </w:r>
      <w:r>
        <w:t xml:space="preserve"> </w:t>
      </w:r>
    </w:p>
    <w:p w14:paraId="7B17A83D" w14:textId="354C380D" w:rsidR="001E4800" w:rsidRDefault="001E4800" w:rsidP="005D1B5B">
      <w:pPr>
        <w:numPr>
          <w:ilvl w:val="0"/>
          <w:numId w:val="0"/>
        </w:numPr>
      </w:pPr>
      <w:r w:rsidRPr="001E4800">
        <w:t>PMID: 32201922 PMCID: PMC8357422</w:t>
      </w:r>
    </w:p>
    <w:p w14:paraId="079E7E20" w14:textId="77777777" w:rsidR="001E4800" w:rsidRDefault="001E4800" w:rsidP="005D1B5B">
      <w:pPr>
        <w:numPr>
          <w:ilvl w:val="0"/>
          <w:numId w:val="0"/>
        </w:numPr>
      </w:pPr>
    </w:p>
    <w:p w14:paraId="1D85BB78" w14:textId="27EC212A" w:rsidR="001E4800" w:rsidRDefault="001E4800" w:rsidP="001E4800">
      <w:pPr>
        <w:numPr>
          <w:ilvl w:val="0"/>
          <w:numId w:val="0"/>
        </w:numPr>
      </w:pPr>
      <w:r>
        <w:t>Association Between Clinical Value and Financial Cost of Cancer Treatments: A Cross-Sectional Analysis. Mitchell AP, Tabatabai SM, Dey P, Ohn JA, Curry MA, Bach PB.</w:t>
      </w:r>
    </w:p>
    <w:p w14:paraId="0C2F6BED" w14:textId="2E75A1E4" w:rsidR="001E4800" w:rsidRDefault="001E4800" w:rsidP="001E4800">
      <w:pPr>
        <w:numPr>
          <w:ilvl w:val="0"/>
          <w:numId w:val="0"/>
        </w:numPr>
      </w:pPr>
      <w:r>
        <w:t xml:space="preserve">J Natl </w:t>
      </w:r>
      <w:proofErr w:type="spellStart"/>
      <w:r>
        <w:t>Compr</w:t>
      </w:r>
      <w:proofErr w:type="spellEnd"/>
      <w:r>
        <w:t xml:space="preserve"> </w:t>
      </w:r>
      <w:proofErr w:type="spellStart"/>
      <w:r>
        <w:t>Canc</w:t>
      </w:r>
      <w:proofErr w:type="spellEnd"/>
      <w:r>
        <w:t xml:space="preserve"> </w:t>
      </w:r>
      <w:proofErr w:type="spellStart"/>
      <w:r>
        <w:t>Netw</w:t>
      </w:r>
      <w:proofErr w:type="spellEnd"/>
      <w:r>
        <w:t xml:space="preserve">. 2020 Oct 1;18(10):1349-1353. </w:t>
      </w:r>
      <w:proofErr w:type="spellStart"/>
      <w:r>
        <w:t>doi</w:t>
      </w:r>
      <w:proofErr w:type="spellEnd"/>
      <w:r>
        <w:t>: 10.6004/jnccn.2020.7574.</w:t>
      </w:r>
    </w:p>
    <w:p w14:paraId="6D40E928" w14:textId="26095961" w:rsidR="001E4800" w:rsidRDefault="001E4800" w:rsidP="005D1B5B">
      <w:pPr>
        <w:numPr>
          <w:ilvl w:val="0"/>
          <w:numId w:val="0"/>
        </w:numPr>
      </w:pPr>
      <w:r w:rsidRPr="001E4800">
        <w:t>PMID: 33022648 PMCID: PMC8354655</w:t>
      </w:r>
    </w:p>
    <w:p w14:paraId="2DDDBEAA" w14:textId="77777777" w:rsidR="001E4800" w:rsidRDefault="001E4800" w:rsidP="005D1B5B">
      <w:pPr>
        <w:numPr>
          <w:ilvl w:val="0"/>
          <w:numId w:val="0"/>
        </w:numPr>
      </w:pPr>
    </w:p>
    <w:p w14:paraId="57A082B2" w14:textId="77777777" w:rsidR="001E4800" w:rsidRDefault="001E4800" w:rsidP="001E4800">
      <w:pPr>
        <w:numPr>
          <w:ilvl w:val="0"/>
          <w:numId w:val="0"/>
        </w:numPr>
      </w:pPr>
      <w:r>
        <w:t>Quality of Treatment Selection for Medicare Beneficiaries With Cancer.</w:t>
      </w:r>
    </w:p>
    <w:p w14:paraId="22F5D1EE" w14:textId="6944B309" w:rsidR="001E4800" w:rsidRDefault="001E4800" w:rsidP="001E4800">
      <w:pPr>
        <w:numPr>
          <w:ilvl w:val="0"/>
          <w:numId w:val="0"/>
        </w:numPr>
      </w:pPr>
      <w:r>
        <w:t xml:space="preserve">Mitchell AP, Persaud S, Mishra Meza A, Fuchs HE, De P, Tabatabai S, Chakraborty N, Dey P, Trivedi NU, Mailankody S, Blinder V, Green A, Epstein AS, Daly B, </w:t>
      </w:r>
      <w:proofErr w:type="spellStart"/>
      <w:r>
        <w:t>Roeker</w:t>
      </w:r>
      <w:proofErr w:type="spellEnd"/>
      <w:r>
        <w:t xml:space="preserve"> L, Bach PB, </w:t>
      </w:r>
      <w:proofErr w:type="spellStart"/>
      <w:r>
        <w:t>Gönen</w:t>
      </w:r>
      <w:proofErr w:type="spellEnd"/>
      <w:r>
        <w:t xml:space="preserve"> M. J Clin Oncol. 2025 Feb 10;43(5):524-535. </w:t>
      </w:r>
      <w:proofErr w:type="spellStart"/>
      <w:r>
        <w:t>doi</w:t>
      </w:r>
      <w:proofErr w:type="spellEnd"/>
      <w:r>
        <w:t>: 10.1200/JCO.24.00459.</w:t>
      </w:r>
    </w:p>
    <w:p w14:paraId="7ABA299C" w14:textId="79712F6E" w:rsidR="001E4800" w:rsidRDefault="001E4800" w:rsidP="001E4800">
      <w:pPr>
        <w:numPr>
          <w:ilvl w:val="0"/>
          <w:numId w:val="0"/>
        </w:numPr>
      </w:pPr>
      <w:r w:rsidRPr="001E4800">
        <w:t>PMID: 39393041</w:t>
      </w:r>
    </w:p>
    <w:p w14:paraId="50A805A8" w14:textId="77777777" w:rsidR="001E4800" w:rsidRDefault="001E4800" w:rsidP="001E4800">
      <w:pPr>
        <w:numPr>
          <w:ilvl w:val="0"/>
          <w:numId w:val="0"/>
        </w:numPr>
      </w:pPr>
    </w:p>
    <w:p w14:paraId="43FA334D" w14:textId="4CBFB3B6" w:rsidR="00696307" w:rsidRDefault="00FC2BEB" w:rsidP="005D1B5B">
      <w:pPr>
        <w:numPr>
          <w:ilvl w:val="0"/>
          <w:numId w:val="0"/>
        </w:numPr>
      </w:pPr>
      <w:r w:rsidRPr="00FB2B15">
        <w:br w:type="page"/>
      </w:r>
    </w:p>
    <w:p w14:paraId="54B20A1B" w14:textId="77777777" w:rsidR="00696307" w:rsidRPr="00AC5B24" w:rsidRDefault="00696307" w:rsidP="0077098D">
      <w:pPr>
        <w:pStyle w:val="NoSpacing"/>
        <w:rPr>
          <w:rFonts w:ascii="Arial" w:hAnsi="Arial" w:cs="Arial"/>
          <w:bCs/>
          <w:highlight w:val="yellow"/>
        </w:rPr>
        <w:sectPr w:rsidR="00696307" w:rsidRPr="00AC5B24" w:rsidSect="006A58FF">
          <w:headerReference w:type="default" r:id="rId18"/>
          <w:footerReference w:type="default" r:id="rId19"/>
          <w:pgSz w:w="12240" w:h="15840"/>
          <w:pgMar w:top="1440" w:right="1440" w:bottom="1440" w:left="1440" w:header="720" w:footer="720" w:gutter="0"/>
          <w:pgNumType w:start="0"/>
          <w:cols w:space="720"/>
          <w:titlePg/>
          <w:docGrid w:linePitch="360"/>
        </w:sectPr>
      </w:pPr>
    </w:p>
    <w:tbl>
      <w:tblPr>
        <w:tblStyle w:val="ListTable2-Accent3"/>
        <w:tblW w:w="0" w:type="auto"/>
        <w:tblLook w:val="04A0" w:firstRow="1" w:lastRow="0" w:firstColumn="1" w:lastColumn="0" w:noHBand="0" w:noVBand="1"/>
      </w:tblPr>
      <w:tblGrid>
        <w:gridCol w:w="1607"/>
        <w:gridCol w:w="2612"/>
        <w:gridCol w:w="6910"/>
        <w:gridCol w:w="1831"/>
      </w:tblGrid>
      <w:tr w:rsidR="000B1951" w14:paraId="4E4AEF02" w14:textId="77777777" w:rsidTr="00CE5519">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2960" w:type="dxa"/>
            <w:gridSpan w:val="4"/>
            <w:tcBorders>
              <w:top w:val="nil"/>
              <w:bottom w:val="nil"/>
            </w:tcBorders>
            <w:vAlign w:val="center"/>
          </w:tcPr>
          <w:p w14:paraId="3E07DA35" w14:textId="6730EFA1" w:rsidR="000B1951" w:rsidRPr="005D1B5B" w:rsidRDefault="000B1951" w:rsidP="005D1B5B">
            <w:pPr>
              <w:pStyle w:val="Heading1"/>
              <w:numPr>
                <w:ilvl w:val="0"/>
                <w:numId w:val="0"/>
              </w:numPr>
              <w:rPr>
                <w:rFonts w:ascii="Arial" w:hAnsi="Arial" w:cs="Arial"/>
                <w:b w:val="0"/>
                <w:bCs w:val="0"/>
                <w:u w:val="single"/>
              </w:rPr>
            </w:pPr>
            <w:bookmarkStart w:id="29" w:name="_Toc194582596"/>
            <w:r w:rsidRPr="005D1B5B">
              <w:rPr>
                <w:rFonts w:ascii="Arial" w:hAnsi="Arial" w:cs="Arial"/>
                <w:b w:val="0"/>
                <w:bCs w:val="0"/>
                <w:color w:val="auto"/>
                <w:u w:val="single"/>
              </w:rPr>
              <w:lastRenderedPageBreak/>
              <w:t>Case-</w:t>
            </w:r>
            <w:r w:rsidR="00743ED7">
              <w:rPr>
                <w:rFonts w:ascii="Arial" w:hAnsi="Arial" w:cs="Arial"/>
                <w:b w:val="0"/>
                <w:bCs w:val="0"/>
                <w:color w:val="auto"/>
                <w:u w:val="single"/>
              </w:rPr>
              <w:t>S</w:t>
            </w:r>
            <w:r w:rsidRPr="005D1B5B">
              <w:rPr>
                <w:rFonts w:ascii="Arial" w:hAnsi="Arial" w:cs="Arial"/>
                <w:b w:val="0"/>
                <w:bCs w:val="0"/>
                <w:color w:val="auto"/>
                <w:u w:val="single"/>
              </w:rPr>
              <w:t xml:space="preserve">pecific </w:t>
            </w:r>
            <w:r w:rsidR="00743ED7">
              <w:rPr>
                <w:rFonts w:ascii="Arial" w:hAnsi="Arial" w:cs="Arial"/>
                <w:b w:val="0"/>
                <w:bCs w:val="0"/>
                <w:color w:val="auto"/>
                <w:u w:val="single"/>
              </w:rPr>
              <w:t>N</w:t>
            </w:r>
            <w:r w:rsidRPr="005D1B5B">
              <w:rPr>
                <w:rFonts w:ascii="Arial" w:hAnsi="Arial" w:cs="Arial"/>
                <w:b w:val="0"/>
                <w:bCs w:val="0"/>
                <w:color w:val="auto"/>
                <w:u w:val="single"/>
              </w:rPr>
              <w:t xml:space="preserve">otes </w:t>
            </w:r>
            <w:r w:rsidR="00743ED7">
              <w:rPr>
                <w:rFonts w:ascii="Arial" w:hAnsi="Arial" w:cs="Arial"/>
                <w:b w:val="0"/>
                <w:bCs w:val="0"/>
                <w:color w:val="auto"/>
                <w:u w:val="single"/>
              </w:rPr>
              <w:t>&amp;</w:t>
            </w:r>
            <w:r w:rsidRPr="005D1B5B">
              <w:rPr>
                <w:rFonts w:ascii="Arial" w:hAnsi="Arial" w:cs="Arial"/>
                <w:b w:val="0"/>
                <w:bCs w:val="0"/>
                <w:color w:val="auto"/>
                <w:u w:val="single"/>
              </w:rPr>
              <w:t xml:space="preserve"> </w:t>
            </w:r>
            <w:r w:rsidR="00743ED7">
              <w:rPr>
                <w:rFonts w:ascii="Arial" w:hAnsi="Arial" w:cs="Arial"/>
                <w:b w:val="0"/>
                <w:bCs w:val="0"/>
                <w:color w:val="auto"/>
                <w:u w:val="single"/>
              </w:rPr>
              <w:t>D</w:t>
            </w:r>
            <w:r w:rsidRPr="005D1B5B">
              <w:rPr>
                <w:rFonts w:ascii="Arial" w:hAnsi="Arial" w:cs="Arial"/>
                <w:b w:val="0"/>
                <w:bCs w:val="0"/>
                <w:color w:val="auto"/>
                <w:u w:val="single"/>
              </w:rPr>
              <w:t>ecision</w:t>
            </w:r>
            <w:r w:rsidR="00743ED7">
              <w:rPr>
                <w:rFonts w:ascii="Arial" w:hAnsi="Arial" w:cs="Arial"/>
                <w:b w:val="0"/>
                <w:bCs w:val="0"/>
                <w:color w:val="auto"/>
                <w:u w:val="single"/>
              </w:rPr>
              <w:t>s</w:t>
            </w:r>
            <w:bookmarkEnd w:id="29"/>
          </w:p>
        </w:tc>
      </w:tr>
      <w:tr w:rsidR="001569C6" w:rsidRPr="00CE5519" w14:paraId="0ED492C9" w14:textId="77777777" w:rsidTr="00CE5519">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607" w:type="dxa"/>
            <w:tcBorders>
              <w:top w:val="nil"/>
            </w:tcBorders>
            <w:vAlign w:val="center"/>
          </w:tcPr>
          <w:p w14:paraId="51ABC3A9" w14:textId="096B66D4" w:rsidR="001569C6" w:rsidRPr="00CE5519" w:rsidRDefault="001569C6" w:rsidP="00CE5519">
            <w:pPr>
              <w:numPr>
                <w:ilvl w:val="0"/>
                <w:numId w:val="0"/>
              </w:numPr>
              <w:ind w:left="360"/>
              <w:jc w:val="center"/>
              <w:rPr>
                <w:sz w:val="18"/>
                <w:szCs w:val="18"/>
              </w:rPr>
            </w:pPr>
            <w:r w:rsidRPr="00CE5519">
              <w:rPr>
                <w:sz w:val="18"/>
                <w:szCs w:val="18"/>
              </w:rPr>
              <w:t>Cancer Type</w:t>
            </w:r>
          </w:p>
        </w:tc>
        <w:tc>
          <w:tcPr>
            <w:tcW w:w="3038" w:type="dxa"/>
            <w:tcBorders>
              <w:top w:val="nil"/>
            </w:tcBorders>
            <w:vAlign w:val="center"/>
          </w:tcPr>
          <w:p w14:paraId="457DFF10" w14:textId="0CBEAF09" w:rsidR="001569C6" w:rsidRPr="00CE5519" w:rsidRDefault="001569C6"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b/>
                <w:bCs/>
                <w:sz w:val="18"/>
                <w:szCs w:val="18"/>
              </w:rPr>
            </w:pPr>
            <w:r w:rsidRPr="00CE5519">
              <w:rPr>
                <w:b/>
                <w:bCs/>
                <w:sz w:val="18"/>
                <w:szCs w:val="18"/>
              </w:rPr>
              <w:t>Regimen</w:t>
            </w:r>
          </w:p>
        </w:tc>
        <w:tc>
          <w:tcPr>
            <w:tcW w:w="4085" w:type="dxa"/>
            <w:tcBorders>
              <w:top w:val="nil"/>
            </w:tcBorders>
            <w:vAlign w:val="center"/>
          </w:tcPr>
          <w:p w14:paraId="0DAEEC65" w14:textId="785495EC" w:rsidR="001569C6" w:rsidRPr="00CE5519" w:rsidRDefault="001569C6"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b/>
                <w:bCs/>
                <w:sz w:val="18"/>
                <w:szCs w:val="18"/>
              </w:rPr>
            </w:pPr>
            <w:r w:rsidRPr="00CE5519">
              <w:rPr>
                <w:b/>
                <w:bCs/>
                <w:sz w:val="18"/>
                <w:szCs w:val="18"/>
              </w:rPr>
              <w:t>Notes</w:t>
            </w:r>
          </w:p>
        </w:tc>
        <w:tc>
          <w:tcPr>
            <w:tcW w:w="4230" w:type="dxa"/>
            <w:tcBorders>
              <w:top w:val="nil"/>
            </w:tcBorders>
            <w:vAlign w:val="center"/>
          </w:tcPr>
          <w:p w14:paraId="0AAFA188" w14:textId="6AE595DC" w:rsidR="001569C6" w:rsidRPr="00CE5519" w:rsidRDefault="001569C6"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b/>
                <w:bCs/>
                <w:sz w:val="18"/>
                <w:szCs w:val="18"/>
              </w:rPr>
            </w:pPr>
            <w:r w:rsidRPr="00CE5519">
              <w:rPr>
                <w:b/>
                <w:bCs/>
                <w:sz w:val="18"/>
                <w:szCs w:val="18"/>
              </w:rPr>
              <w:t>Unique ID(s)</w:t>
            </w:r>
          </w:p>
        </w:tc>
      </w:tr>
      <w:tr w:rsidR="001569C6" w:rsidRPr="00CE5519" w14:paraId="21B01E1C"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0C0FDB3A" w14:textId="7EC96093" w:rsidR="001569C6" w:rsidRPr="00CE5519" w:rsidRDefault="001569C6" w:rsidP="00CE5519">
            <w:pPr>
              <w:numPr>
                <w:ilvl w:val="0"/>
                <w:numId w:val="0"/>
              </w:numPr>
              <w:ind w:left="360"/>
              <w:rPr>
                <w:b w:val="0"/>
                <w:bCs w:val="0"/>
                <w:sz w:val="18"/>
                <w:szCs w:val="18"/>
              </w:rPr>
            </w:pPr>
            <w:r w:rsidRPr="00CE5519">
              <w:rPr>
                <w:b w:val="0"/>
                <w:bCs w:val="0"/>
                <w:sz w:val="18"/>
                <w:szCs w:val="18"/>
              </w:rPr>
              <w:t>Acute Myeloid Leukemia (AML)</w:t>
            </w:r>
          </w:p>
        </w:tc>
        <w:tc>
          <w:tcPr>
            <w:tcW w:w="3038" w:type="dxa"/>
            <w:vAlign w:val="center"/>
          </w:tcPr>
          <w:p w14:paraId="5759E802" w14:textId="664B9B96" w:rsidR="001569C6" w:rsidRPr="00CE5519" w:rsidRDefault="00764E74"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Induction: ATRA/</w:t>
            </w:r>
            <w:proofErr w:type="spellStart"/>
            <w:r w:rsidRPr="00CE5519">
              <w:rPr>
                <w:sz w:val="18"/>
                <w:szCs w:val="18"/>
              </w:rPr>
              <w:t>gemtuzumab</w:t>
            </w:r>
            <w:proofErr w:type="spellEnd"/>
            <w:r w:rsidRPr="00CE5519">
              <w:rPr>
                <w:sz w:val="18"/>
                <w:szCs w:val="18"/>
              </w:rPr>
              <w:t xml:space="preserve"> </w:t>
            </w:r>
            <w:proofErr w:type="spellStart"/>
            <w:r w:rsidRPr="00CE5519">
              <w:rPr>
                <w:sz w:val="18"/>
                <w:szCs w:val="18"/>
              </w:rPr>
              <w:t>ozogamicin</w:t>
            </w:r>
            <w:proofErr w:type="spellEnd"/>
            <w:r w:rsidRPr="00CE5519">
              <w:rPr>
                <w:sz w:val="18"/>
                <w:szCs w:val="18"/>
              </w:rPr>
              <w:t>; consolidation: ATRA/</w:t>
            </w:r>
            <w:proofErr w:type="spellStart"/>
            <w:r w:rsidRPr="00CE5519">
              <w:rPr>
                <w:sz w:val="18"/>
                <w:szCs w:val="18"/>
              </w:rPr>
              <w:t>gemtuzumab</w:t>
            </w:r>
            <w:proofErr w:type="spellEnd"/>
            <w:r w:rsidRPr="00CE5519">
              <w:rPr>
                <w:sz w:val="18"/>
                <w:szCs w:val="18"/>
              </w:rPr>
              <w:t xml:space="preserve"> </w:t>
            </w:r>
            <w:proofErr w:type="spellStart"/>
            <w:r w:rsidRPr="00CE5519">
              <w:rPr>
                <w:sz w:val="18"/>
                <w:szCs w:val="18"/>
              </w:rPr>
              <w:t>ozogamicin</w:t>
            </w:r>
            <w:proofErr w:type="spellEnd"/>
          </w:p>
        </w:tc>
        <w:tc>
          <w:tcPr>
            <w:tcW w:w="4085" w:type="dxa"/>
            <w:vAlign w:val="center"/>
          </w:tcPr>
          <w:p w14:paraId="2F266773" w14:textId="1B54A08C"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Assumed length of induction was 28 days based on this source from the Jan 2021 guideline</w:t>
            </w:r>
            <w:r w:rsidR="00EF347B" w:rsidRPr="00CE5519">
              <w:rPr>
                <w:sz w:val="18"/>
                <w:szCs w:val="18"/>
              </w:rPr>
              <w:t xml:space="preserve">: </w:t>
            </w:r>
            <w:r w:rsidRPr="00CE5519">
              <w:rPr>
                <w:sz w:val="18"/>
                <w:szCs w:val="18"/>
              </w:rPr>
              <w:t>https://ashpublications.org/blood/article/99/11/4222/106797/Experience-with-gemtuzumab-ozogamycin-mylotarg-and</w:t>
            </w:r>
          </w:p>
        </w:tc>
        <w:tc>
          <w:tcPr>
            <w:tcW w:w="4230" w:type="dxa"/>
            <w:vAlign w:val="center"/>
          </w:tcPr>
          <w:p w14:paraId="6F5B6EA2" w14:textId="0003EC95" w:rsidR="001569C6" w:rsidRPr="00CE5519" w:rsidRDefault="001569C6"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10052</w:t>
            </w:r>
          </w:p>
        </w:tc>
      </w:tr>
      <w:tr w:rsidR="001569C6" w:rsidRPr="00CE5519" w14:paraId="24B35520"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7C7FE951" w14:textId="3197C0D5" w:rsidR="001569C6" w:rsidRPr="00CE5519" w:rsidRDefault="001569C6" w:rsidP="00CE5519">
            <w:pPr>
              <w:numPr>
                <w:ilvl w:val="0"/>
                <w:numId w:val="0"/>
              </w:numPr>
              <w:ind w:left="360"/>
              <w:rPr>
                <w:b w:val="0"/>
                <w:bCs w:val="0"/>
                <w:sz w:val="18"/>
                <w:szCs w:val="18"/>
              </w:rPr>
            </w:pPr>
            <w:r w:rsidRPr="00CE5519">
              <w:rPr>
                <w:b w:val="0"/>
                <w:bCs w:val="0"/>
                <w:sz w:val="18"/>
                <w:szCs w:val="18"/>
              </w:rPr>
              <w:t>Acute Myeloid Leukemia (AML)</w:t>
            </w:r>
          </w:p>
        </w:tc>
        <w:tc>
          <w:tcPr>
            <w:tcW w:w="3038" w:type="dxa"/>
            <w:vAlign w:val="center"/>
          </w:tcPr>
          <w:p w14:paraId="5226BDC3" w14:textId="324B9538" w:rsidR="001569C6" w:rsidRPr="00CE5519" w:rsidRDefault="00A85B1B"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Dual-drug liposomal encapsulation of daunorubicin </w:t>
            </w:r>
            <w:r w:rsidR="0086022A" w:rsidRPr="00CE5519">
              <w:rPr>
                <w:sz w:val="18"/>
                <w:szCs w:val="18"/>
              </w:rPr>
              <w:t>and</w:t>
            </w:r>
            <w:r w:rsidRPr="00CE5519">
              <w:rPr>
                <w:sz w:val="18"/>
                <w:szCs w:val="18"/>
              </w:rPr>
              <w:t xml:space="preserve"> cytarabine</w:t>
            </w:r>
          </w:p>
        </w:tc>
        <w:tc>
          <w:tcPr>
            <w:tcW w:w="4085" w:type="dxa"/>
            <w:vAlign w:val="center"/>
          </w:tcPr>
          <w:p w14:paraId="334ACD10" w14:textId="25CD87C5"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The dose of </w:t>
            </w:r>
            <w:proofErr w:type="spellStart"/>
            <w:r w:rsidRPr="00CE5519">
              <w:rPr>
                <w:sz w:val="18"/>
                <w:szCs w:val="18"/>
              </w:rPr>
              <w:t>Vyxeos</w:t>
            </w:r>
            <w:proofErr w:type="spellEnd"/>
            <w:r w:rsidRPr="00CE5519">
              <w:rPr>
                <w:sz w:val="18"/>
                <w:szCs w:val="18"/>
              </w:rPr>
              <w:t xml:space="preserve"> (combination daunorubicin + cytarabine) was calculated based on the daunorubicin component</w:t>
            </w:r>
          </w:p>
        </w:tc>
        <w:tc>
          <w:tcPr>
            <w:tcW w:w="4230" w:type="dxa"/>
            <w:vAlign w:val="center"/>
          </w:tcPr>
          <w:p w14:paraId="57A9B5E1" w14:textId="58DE5071" w:rsidR="001569C6" w:rsidRPr="00CE5519" w:rsidRDefault="001569C6"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10033, 1049</w:t>
            </w:r>
          </w:p>
        </w:tc>
      </w:tr>
      <w:tr w:rsidR="001569C6" w:rsidRPr="00CE5519" w14:paraId="5A30FAD7"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0ED5850B" w14:textId="63C0E643" w:rsidR="001569C6" w:rsidRPr="00CE5519" w:rsidRDefault="001569C6" w:rsidP="00CE5519">
            <w:pPr>
              <w:numPr>
                <w:ilvl w:val="0"/>
                <w:numId w:val="0"/>
              </w:numPr>
              <w:ind w:left="360"/>
              <w:rPr>
                <w:b w:val="0"/>
                <w:bCs w:val="0"/>
                <w:sz w:val="18"/>
                <w:szCs w:val="18"/>
              </w:rPr>
            </w:pPr>
            <w:r w:rsidRPr="00CE5519">
              <w:rPr>
                <w:b w:val="0"/>
                <w:bCs w:val="0"/>
                <w:sz w:val="18"/>
                <w:szCs w:val="18"/>
              </w:rPr>
              <w:t>Anal</w:t>
            </w:r>
          </w:p>
        </w:tc>
        <w:tc>
          <w:tcPr>
            <w:tcW w:w="3038" w:type="dxa"/>
            <w:vAlign w:val="center"/>
          </w:tcPr>
          <w:p w14:paraId="305DB75C" w14:textId="24510E34" w:rsidR="001569C6" w:rsidRPr="00CE5519" w:rsidRDefault="00BD0D7F"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5-FU, cisplatin, and RT</w:t>
            </w:r>
          </w:p>
        </w:tc>
        <w:tc>
          <w:tcPr>
            <w:tcW w:w="4085" w:type="dxa"/>
            <w:vAlign w:val="center"/>
          </w:tcPr>
          <w:p w14:paraId="16501F63" w14:textId="7A4E8D60"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the treatment regimen 5-FU + cisplatin + RT for metastatic disease, we assumed the same dosing as for the non-metastatic setting</w:t>
            </w:r>
          </w:p>
        </w:tc>
        <w:tc>
          <w:tcPr>
            <w:tcW w:w="4230" w:type="dxa"/>
            <w:vAlign w:val="center"/>
          </w:tcPr>
          <w:p w14:paraId="1AD0E013" w14:textId="19114276" w:rsidR="001569C6" w:rsidRPr="00CE5519" w:rsidRDefault="00BD0D7F"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11018</w:t>
            </w:r>
          </w:p>
        </w:tc>
      </w:tr>
      <w:tr w:rsidR="001569C6" w:rsidRPr="00CE5519" w14:paraId="2A4477C0"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2413DDF4" w14:textId="32929170" w:rsidR="001569C6" w:rsidRPr="00CE5519" w:rsidRDefault="001569C6" w:rsidP="00CE5519">
            <w:pPr>
              <w:numPr>
                <w:ilvl w:val="0"/>
                <w:numId w:val="0"/>
              </w:numPr>
              <w:ind w:left="360"/>
              <w:rPr>
                <w:b w:val="0"/>
                <w:bCs w:val="0"/>
                <w:sz w:val="18"/>
                <w:szCs w:val="18"/>
              </w:rPr>
            </w:pPr>
            <w:r w:rsidRPr="00CE5519">
              <w:rPr>
                <w:b w:val="0"/>
                <w:bCs w:val="0"/>
                <w:sz w:val="18"/>
                <w:szCs w:val="18"/>
              </w:rPr>
              <w:t>Bladder</w:t>
            </w:r>
          </w:p>
        </w:tc>
        <w:tc>
          <w:tcPr>
            <w:tcW w:w="3038" w:type="dxa"/>
            <w:vAlign w:val="center"/>
          </w:tcPr>
          <w:p w14:paraId="293696EF" w14:textId="4A912385" w:rsidR="001569C6" w:rsidRPr="00CE5519" w:rsidRDefault="00062FB1"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CE5519">
              <w:rPr>
                <w:sz w:val="18"/>
                <w:szCs w:val="18"/>
              </w:rPr>
              <w:t>Ifosfamide</w:t>
            </w:r>
            <w:proofErr w:type="spellEnd"/>
            <w:r w:rsidRPr="00CE5519">
              <w:rPr>
                <w:sz w:val="18"/>
                <w:szCs w:val="18"/>
              </w:rPr>
              <w:t>, doxorubicin, and gemcitabine</w:t>
            </w:r>
          </w:p>
        </w:tc>
        <w:tc>
          <w:tcPr>
            <w:tcW w:w="4085" w:type="dxa"/>
            <w:vAlign w:val="center"/>
          </w:tcPr>
          <w:p w14:paraId="2E4918A1" w14:textId="6EAA35C0"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We based dosing of </w:t>
            </w:r>
            <w:proofErr w:type="spellStart"/>
            <w:r w:rsidRPr="00CE5519">
              <w:rPr>
                <w:sz w:val="18"/>
                <w:szCs w:val="18"/>
              </w:rPr>
              <w:t>Ifosfamide</w:t>
            </w:r>
            <w:proofErr w:type="spellEnd"/>
            <w:r w:rsidRPr="00CE5519">
              <w:rPr>
                <w:sz w:val="18"/>
                <w:szCs w:val="18"/>
              </w:rPr>
              <w:t xml:space="preserve"> + doxorubicin + gemcitabine on the study cited by NCCN, although we noted that the patient population appeared to include patients who were cisplatin-eligible</w:t>
            </w:r>
          </w:p>
        </w:tc>
        <w:tc>
          <w:tcPr>
            <w:tcW w:w="4230" w:type="dxa"/>
            <w:vAlign w:val="center"/>
          </w:tcPr>
          <w:p w14:paraId="4542AF1B" w14:textId="740BFFF8" w:rsidR="001569C6" w:rsidRPr="00CE5519" w:rsidRDefault="001569C6"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13014, 13028, 13040, 13051</w:t>
            </w:r>
          </w:p>
        </w:tc>
      </w:tr>
      <w:tr w:rsidR="001569C6" w:rsidRPr="00CE5519" w14:paraId="09626BD0"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1FB2CB88" w14:textId="0B67D518" w:rsidR="001569C6" w:rsidRPr="00CE5519" w:rsidRDefault="001569C6" w:rsidP="00CE5519">
            <w:pPr>
              <w:numPr>
                <w:ilvl w:val="0"/>
                <w:numId w:val="0"/>
              </w:numPr>
              <w:ind w:left="360"/>
              <w:rPr>
                <w:b w:val="0"/>
                <w:bCs w:val="0"/>
                <w:sz w:val="18"/>
                <w:szCs w:val="18"/>
              </w:rPr>
            </w:pPr>
            <w:r w:rsidRPr="00CE5519">
              <w:rPr>
                <w:b w:val="0"/>
                <w:bCs w:val="0"/>
                <w:sz w:val="18"/>
                <w:szCs w:val="18"/>
              </w:rPr>
              <w:t>Bladder</w:t>
            </w:r>
          </w:p>
        </w:tc>
        <w:tc>
          <w:tcPr>
            <w:tcW w:w="3038" w:type="dxa"/>
            <w:vAlign w:val="center"/>
          </w:tcPr>
          <w:p w14:paraId="2936DE86" w14:textId="098CC832" w:rsidR="001569C6" w:rsidRPr="00CE5519" w:rsidRDefault="00D40060"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c>
          <w:tcPr>
            <w:tcW w:w="4085" w:type="dxa"/>
            <w:vAlign w:val="center"/>
          </w:tcPr>
          <w:p w14:paraId="39038469" w14:textId="0C96D143"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For metastatic disease treatment </w:t>
            </w:r>
            <w:r w:rsidR="00725EBD" w:rsidRPr="00CE5519">
              <w:rPr>
                <w:sz w:val="18"/>
                <w:szCs w:val="18"/>
              </w:rPr>
              <w:t>regimens,</w:t>
            </w:r>
            <w:r w:rsidRPr="00CE5519">
              <w:rPr>
                <w:sz w:val="18"/>
                <w:szCs w:val="18"/>
              </w:rPr>
              <w:t xml:space="preserve"> we assumed the NCCN-recommended maximum of 6 cycles</w:t>
            </w:r>
          </w:p>
        </w:tc>
        <w:tc>
          <w:tcPr>
            <w:tcW w:w="4230" w:type="dxa"/>
            <w:vAlign w:val="center"/>
          </w:tcPr>
          <w:p w14:paraId="56FB7FCB" w14:textId="0357BF3C" w:rsidR="001569C6" w:rsidRPr="00CE5519" w:rsidRDefault="00EF347B"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r>
      <w:tr w:rsidR="001569C6" w:rsidRPr="00CE5519" w14:paraId="27662CDA"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1FCEAE9B" w14:textId="6137BE0B" w:rsidR="001569C6" w:rsidRPr="00CE5519" w:rsidRDefault="001569C6" w:rsidP="00CE5519">
            <w:pPr>
              <w:numPr>
                <w:ilvl w:val="0"/>
                <w:numId w:val="0"/>
              </w:numPr>
              <w:ind w:left="360"/>
              <w:rPr>
                <w:b w:val="0"/>
                <w:bCs w:val="0"/>
                <w:sz w:val="18"/>
                <w:szCs w:val="18"/>
              </w:rPr>
            </w:pPr>
            <w:r w:rsidRPr="00CE5519">
              <w:rPr>
                <w:b w:val="0"/>
                <w:bCs w:val="0"/>
                <w:sz w:val="18"/>
                <w:szCs w:val="18"/>
              </w:rPr>
              <w:t>Bladder</w:t>
            </w:r>
          </w:p>
        </w:tc>
        <w:tc>
          <w:tcPr>
            <w:tcW w:w="3038" w:type="dxa"/>
            <w:vAlign w:val="center"/>
          </w:tcPr>
          <w:p w14:paraId="570D31F2" w14:textId="78E8E2C7" w:rsidR="001569C6" w:rsidRPr="00CE5519" w:rsidRDefault="00D40060"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c>
          <w:tcPr>
            <w:tcW w:w="4085" w:type="dxa"/>
            <w:vAlign w:val="center"/>
          </w:tcPr>
          <w:p w14:paraId="3041EF40" w14:textId="32829D10"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For bladder-sparing regimens with dosing that depends on individual response to treatment, we assumed that patients achieved complete response</w:t>
            </w:r>
          </w:p>
        </w:tc>
        <w:tc>
          <w:tcPr>
            <w:tcW w:w="4230" w:type="dxa"/>
            <w:vAlign w:val="center"/>
          </w:tcPr>
          <w:p w14:paraId="6C843806" w14:textId="585017F1" w:rsidR="001569C6" w:rsidRPr="00CE5519" w:rsidRDefault="00EF347B"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r>
      <w:tr w:rsidR="001569C6" w:rsidRPr="00CE5519" w14:paraId="0E975CFF"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15D3659D" w14:textId="57D04C52" w:rsidR="001569C6" w:rsidRPr="00CE5519" w:rsidRDefault="001569C6" w:rsidP="00CE5519">
            <w:pPr>
              <w:numPr>
                <w:ilvl w:val="0"/>
                <w:numId w:val="0"/>
              </w:numPr>
              <w:ind w:left="360"/>
              <w:rPr>
                <w:b w:val="0"/>
                <w:bCs w:val="0"/>
                <w:sz w:val="18"/>
                <w:szCs w:val="18"/>
              </w:rPr>
            </w:pPr>
            <w:r w:rsidRPr="00CE5519">
              <w:rPr>
                <w:b w:val="0"/>
                <w:bCs w:val="0"/>
                <w:sz w:val="18"/>
                <w:szCs w:val="18"/>
              </w:rPr>
              <w:t>Bladder</w:t>
            </w:r>
          </w:p>
        </w:tc>
        <w:tc>
          <w:tcPr>
            <w:tcW w:w="3038" w:type="dxa"/>
            <w:vAlign w:val="center"/>
          </w:tcPr>
          <w:p w14:paraId="69EDF746" w14:textId="1950EA7A" w:rsidR="001569C6" w:rsidRPr="00CE5519" w:rsidRDefault="00D40060"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c>
          <w:tcPr>
            <w:tcW w:w="4085" w:type="dxa"/>
            <w:vAlign w:val="center"/>
          </w:tcPr>
          <w:p w14:paraId="69341DF5" w14:textId="6D0CDA00"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low-dose gemcitabine bladder sparing, we assumed a dose of 27 mg/m2 in accordance with institutional standards</w:t>
            </w:r>
          </w:p>
        </w:tc>
        <w:tc>
          <w:tcPr>
            <w:tcW w:w="4230" w:type="dxa"/>
            <w:vAlign w:val="center"/>
          </w:tcPr>
          <w:p w14:paraId="0F6E1E91" w14:textId="13B36CC5" w:rsidR="001569C6" w:rsidRPr="00CE5519" w:rsidRDefault="00EF347B"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r>
      <w:tr w:rsidR="001569C6" w:rsidRPr="00CE5519" w14:paraId="79E65811"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5FD75E94" w14:textId="211427A4" w:rsidR="001569C6" w:rsidRPr="00CE5519" w:rsidRDefault="001569C6" w:rsidP="00CE5519">
            <w:pPr>
              <w:numPr>
                <w:ilvl w:val="0"/>
                <w:numId w:val="0"/>
              </w:numPr>
              <w:ind w:left="360"/>
              <w:rPr>
                <w:b w:val="0"/>
                <w:bCs w:val="0"/>
                <w:sz w:val="18"/>
                <w:szCs w:val="18"/>
              </w:rPr>
            </w:pPr>
            <w:r w:rsidRPr="00CE5519">
              <w:rPr>
                <w:b w:val="0"/>
                <w:bCs w:val="0"/>
                <w:sz w:val="18"/>
                <w:szCs w:val="18"/>
              </w:rPr>
              <w:t>Brain (CNS)</w:t>
            </w:r>
          </w:p>
        </w:tc>
        <w:tc>
          <w:tcPr>
            <w:tcW w:w="3038" w:type="dxa"/>
            <w:vAlign w:val="center"/>
          </w:tcPr>
          <w:p w14:paraId="2917FA1C" w14:textId="77777777" w:rsidR="001569C6" w:rsidRPr="00CE5519" w:rsidRDefault="00716107"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RT + concurrent and adjuvant Temozolomide</w:t>
            </w:r>
          </w:p>
          <w:p w14:paraId="4B883FEC" w14:textId="77777777" w:rsidR="00716107" w:rsidRPr="00CE5519" w:rsidRDefault="00716107"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p>
          <w:p w14:paraId="5A366196" w14:textId="77777777" w:rsidR="00716107" w:rsidRPr="00CE5519" w:rsidRDefault="00716107"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Fractionated RT + concurrent and adjuvant TMZ</w:t>
            </w:r>
          </w:p>
          <w:p w14:paraId="0819B8EA" w14:textId="77777777" w:rsidR="00716107" w:rsidRPr="00CE5519" w:rsidRDefault="00716107"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p>
          <w:p w14:paraId="64543997" w14:textId="60E136D7" w:rsidR="00716107" w:rsidRPr="00CE5519" w:rsidRDefault="00716107"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Standard RT + concurrent and adjuvant </w:t>
            </w:r>
            <w:proofErr w:type="spellStart"/>
            <w:r w:rsidRPr="00CE5519">
              <w:rPr>
                <w:sz w:val="18"/>
                <w:szCs w:val="18"/>
              </w:rPr>
              <w:t>lomustine</w:t>
            </w:r>
            <w:proofErr w:type="spellEnd"/>
            <w:r w:rsidRPr="00CE5519">
              <w:rPr>
                <w:sz w:val="18"/>
                <w:szCs w:val="18"/>
              </w:rPr>
              <w:t xml:space="preserve"> + TMZ</w:t>
            </w:r>
          </w:p>
        </w:tc>
        <w:tc>
          <w:tcPr>
            <w:tcW w:w="4085" w:type="dxa"/>
            <w:vAlign w:val="center"/>
          </w:tcPr>
          <w:p w14:paraId="0E32504B" w14:textId="1D4178F3"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For regimens including RT plus "concurrent and adjuvant temozolomide," we assumed that temozolomide was dosed in accordance with the Stupp et al protocol: https://www.ncbi.nlm.nih.gov/pubmed/15758009</w:t>
            </w:r>
          </w:p>
        </w:tc>
        <w:tc>
          <w:tcPr>
            <w:tcW w:w="4230" w:type="dxa"/>
            <w:vAlign w:val="center"/>
          </w:tcPr>
          <w:p w14:paraId="3B3EF914" w14:textId="2D3A031E" w:rsidR="001569C6" w:rsidRPr="00CE5519" w:rsidRDefault="00716107"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15002, 15016, 15019, 15022, 15024, 15211</w:t>
            </w:r>
          </w:p>
        </w:tc>
      </w:tr>
      <w:tr w:rsidR="001569C6" w:rsidRPr="00CE5519" w14:paraId="6AB52AD5"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14CD8248" w14:textId="73C9C8DB" w:rsidR="001569C6" w:rsidRPr="00CE5519" w:rsidRDefault="001569C6" w:rsidP="00CE5519">
            <w:pPr>
              <w:numPr>
                <w:ilvl w:val="0"/>
                <w:numId w:val="0"/>
              </w:numPr>
              <w:ind w:left="360"/>
              <w:rPr>
                <w:b w:val="0"/>
                <w:bCs w:val="0"/>
                <w:sz w:val="18"/>
                <w:szCs w:val="18"/>
              </w:rPr>
            </w:pPr>
            <w:r w:rsidRPr="00CE5519">
              <w:rPr>
                <w:b w:val="0"/>
                <w:bCs w:val="0"/>
                <w:sz w:val="18"/>
                <w:szCs w:val="18"/>
              </w:rPr>
              <w:t>Brain (CNS)</w:t>
            </w:r>
          </w:p>
        </w:tc>
        <w:tc>
          <w:tcPr>
            <w:tcW w:w="3038" w:type="dxa"/>
            <w:vAlign w:val="center"/>
          </w:tcPr>
          <w:p w14:paraId="6C11BD15" w14:textId="4FA4AA78" w:rsidR="00D40060" w:rsidRPr="00CE5519" w:rsidRDefault="00D40060"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Fractionated RT + adjuvant PCV</w:t>
            </w:r>
          </w:p>
          <w:p w14:paraId="46B48487" w14:textId="3C7E2D82" w:rsidR="00D40060" w:rsidRPr="00CE5519" w:rsidRDefault="00D40060"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Fractionated RT + neoadjuvant PCV</w:t>
            </w:r>
          </w:p>
          <w:p w14:paraId="258B4A11" w14:textId="6BA538BA" w:rsidR="00D40060" w:rsidRPr="00CE5519" w:rsidRDefault="00D40060"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Fractionated RT + concurrent and adjuvant TMZ</w:t>
            </w:r>
          </w:p>
          <w:p w14:paraId="2B0BD29C" w14:textId="2A9321AF" w:rsidR="001569C6" w:rsidRPr="00CE5519" w:rsidRDefault="00D40060"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lastRenderedPageBreak/>
              <w:t>Fractionated RT + adjuvant TMZ</w:t>
            </w:r>
          </w:p>
        </w:tc>
        <w:tc>
          <w:tcPr>
            <w:tcW w:w="4085" w:type="dxa"/>
            <w:vAlign w:val="center"/>
          </w:tcPr>
          <w:p w14:paraId="7F9B64F6" w14:textId="10E0C82A"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lastRenderedPageBreak/>
              <w:t xml:space="preserve">For anaplastic glioma regimens with </w:t>
            </w:r>
            <w:proofErr w:type="spellStart"/>
            <w:r w:rsidRPr="00CE5519">
              <w:rPr>
                <w:sz w:val="18"/>
                <w:szCs w:val="18"/>
              </w:rPr>
              <w:t>hypofractionated</w:t>
            </w:r>
            <w:proofErr w:type="spellEnd"/>
            <w:r w:rsidRPr="00CE5519">
              <w:rPr>
                <w:sz w:val="18"/>
                <w:szCs w:val="18"/>
              </w:rPr>
              <w:t xml:space="preserve"> RT plus "concurrent and adjuvant temozolomide", we based dosing on the </w:t>
            </w:r>
            <w:r w:rsidR="00A85B1B" w:rsidRPr="00CE5519">
              <w:rPr>
                <w:sz w:val="18"/>
                <w:szCs w:val="18"/>
              </w:rPr>
              <w:t>Ven</w:t>
            </w:r>
            <w:r w:rsidRPr="00CE5519">
              <w:rPr>
                <w:sz w:val="18"/>
                <w:szCs w:val="18"/>
              </w:rPr>
              <w:t xml:space="preserve"> den Bent protocol: https://www.ncbi.nlm.nih.gov/pmc/articles/PMC5806535/</w:t>
            </w:r>
          </w:p>
        </w:tc>
        <w:tc>
          <w:tcPr>
            <w:tcW w:w="4230" w:type="dxa"/>
            <w:vAlign w:val="center"/>
          </w:tcPr>
          <w:p w14:paraId="077D3DB6" w14:textId="329CAEE7" w:rsidR="001569C6" w:rsidRPr="00CE5519" w:rsidRDefault="00D40060"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15020 – 15027</w:t>
            </w:r>
          </w:p>
        </w:tc>
      </w:tr>
      <w:tr w:rsidR="001569C6" w:rsidRPr="00CE5519" w14:paraId="63B5726F"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433924AA" w14:textId="6286389A" w:rsidR="001569C6" w:rsidRPr="00CE5519" w:rsidRDefault="001569C6" w:rsidP="00CE5519">
            <w:pPr>
              <w:numPr>
                <w:ilvl w:val="0"/>
                <w:numId w:val="0"/>
              </w:numPr>
              <w:ind w:left="360"/>
              <w:rPr>
                <w:b w:val="0"/>
                <w:bCs w:val="0"/>
                <w:sz w:val="18"/>
                <w:szCs w:val="18"/>
              </w:rPr>
            </w:pPr>
            <w:r w:rsidRPr="00CE5519">
              <w:rPr>
                <w:b w:val="0"/>
                <w:bCs w:val="0"/>
                <w:sz w:val="18"/>
                <w:szCs w:val="18"/>
              </w:rPr>
              <w:t>Brain (CNS)</w:t>
            </w:r>
          </w:p>
        </w:tc>
        <w:tc>
          <w:tcPr>
            <w:tcW w:w="3038" w:type="dxa"/>
            <w:vAlign w:val="center"/>
          </w:tcPr>
          <w:p w14:paraId="02406E32" w14:textId="05370AEB" w:rsidR="001569C6" w:rsidRPr="00CE5519" w:rsidRDefault="00716107"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CE5519">
              <w:rPr>
                <w:sz w:val="18"/>
                <w:szCs w:val="18"/>
              </w:rPr>
              <w:t>Hypofractionated</w:t>
            </w:r>
            <w:proofErr w:type="spellEnd"/>
            <w:r w:rsidRPr="00CE5519">
              <w:rPr>
                <w:sz w:val="18"/>
                <w:szCs w:val="18"/>
              </w:rPr>
              <w:t xml:space="preserve"> brain RT, concurrent temozolomide, and adjuvant temozolomide</w:t>
            </w:r>
          </w:p>
        </w:tc>
        <w:tc>
          <w:tcPr>
            <w:tcW w:w="4085" w:type="dxa"/>
            <w:vAlign w:val="center"/>
          </w:tcPr>
          <w:p w14:paraId="7CD01EDF" w14:textId="523653F2"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For regimens for glioblastoma with </w:t>
            </w:r>
            <w:proofErr w:type="spellStart"/>
            <w:r w:rsidRPr="00CE5519">
              <w:rPr>
                <w:sz w:val="18"/>
                <w:szCs w:val="18"/>
              </w:rPr>
              <w:t>hypofractionated</w:t>
            </w:r>
            <w:proofErr w:type="spellEnd"/>
            <w:r w:rsidRPr="00CE5519">
              <w:rPr>
                <w:sz w:val="18"/>
                <w:szCs w:val="18"/>
              </w:rPr>
              <w:t xml:space="preserve"> RT plus "concurrent and adjuvant temozolomide", we assumed 2 weeks of RT based on the Malmstrom et al protocol: https://www.ncbi.nlm.nih.gov/pubmed/22877848</w:t>
            </w:r>
          </w:p>
        </w:tc>
        <w:tc>
          <w:tcPr>
            <w:tcW w:w="4230" w:type="dxa"/>
            <w:vAlign w:val="center"/>
          </w:tcPr>
          <w:p w14:paraId="573D3F62" w14:textId="144A5C62" w:rsidR="001569C6" w:rsidRPr="00CE5519" w:rsidRDefault="00716107"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15073, 15077, 15081</w:t>
            </w:r>
          </w:p>
        </w:tc>
      </w:tr>
      <w:tr w:rsidR="001569C6" w:rsidRPr="00CE5519" w14:paraId="6DB73E21"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42F3F260" w14:textId="093F4941" w:rsidR="001569C6" w:rsidRPr="00CE5519" w:rsidRDefault="001569C6" w:rsidP="00CE5519">
            <w:pPr>
              <w:numPr>
                <w:ilvl w:val="0"/>
                <w:numId w:val="0"/>
              </w:numPr>
              <w:ind w:left="360"/>
              <w:rPr>
                <w:b w:val="0"/>
                <w:bCs w:val="0"/>
                <w:sz w:val="18"/>
                <w:szCs w:val="18"/>
              </w:rPr>
            </w:pPr>
            <w:r w:rsidRPr="00CE5519">
              <w:rPr>
                <w:b w:val="0"/>
                <w:bCs w:val="0"/>
                <w:sz w:val="18"/>
                <w:szCs w:val="18"/>
              </w:rPr>
              <w:t>Brain (CNS)</w:t>
            </w:r>
          </w:p>
        </w:tc>
        <w:tc>
          <w:tcPr>
            <w:tcW w:w="3038" w:type="dxa"/>
            <w:vAlign w:val="center"/>
          </w:tcPr>
          <w:p w14:paraId="2D1DFC89" w14:textId="527C4188" w:rsidR="0079101F" w:rsidRPr="00CE5519" w:rsidRDefault="0079101F"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Bevacizumab and </w:t>
            </w:r>
            <w:proofErr w:type="spellStart"/>
            <w:r w:rsidRPr="00CE5519">
              <w:rPr>
                <w:sz w:val="18"/>
                <w:szCs w:val="18"/>
              </w:rPr>
              <w:t>carmustine</w:t>
            </w:r>
            <w:proofErr w:type="spellEnd"/>
          </w:p>
          <w:p w14:paraId="726DE597" w14:textId="42D9F00E" w:rsidR="0079101F" w:rsidRPr="00CE5519" w:rsidRDefault="0079101F"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Bevacizumab and </w:t>
            </w:r>
            <w:proofErr w:type="spellStart"/>
            <w:r w:rsidRPr="00CE5519">
              <w:rPr>
                <w:sz w:val="18"/>
                <w:szCs w:val="18"/>
              </w:rPr>
              <w:t>lomustine</w:t>
            </w:r>
            <w:proofErr w:type="spellEnd"/>
          </w:p>
          <w:p w14:paraId="23A635DA" w14:textId="6293CD6B" w:rsidR="001569C6" w:rsidRPr="00CE5519" w:rsidRDefault="0079101F"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Bevacizumab and temozolomide</w:t>
            </w:r>
          </w:p>
        </w:tc>
        <w:tc>
          <w:tcPr>
            <w:tcW w:w="4085" w:type="dxa"/>
            <w:vAlign w:val="center"/>
          </w:tcPr>
          <w:p w14:paraId="3A6CB207" w14:textId="321E5A52"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Because no dosing schedules were available for the</w:t>
            </w:r>
            <w:r w:rsidR="000F4DB0" w:rsidRPr="00CE5519">
              <w:rPr>
                <w:sz w:val="18"/>
                <w:szCs w:val="18"/>
              </w:rPr>
              <w:t>se</w:t>
            </w:r>
            <w:r w:rsidRPr="00CE5519">
              <w:rPr>
                <w:sz w:val="18"/>
                <w:szCs w:val="18"/>
              </w:rPr>
              <w:t xml:space="preserve"> combination regimens</w:t>
            </w:r>
            <w:r w:rsidR="000F4DB0" w:rsidRPr="00CE5519">
              <w:rPr>
                <w:sz w:val="18"/>
                <w:szCs w:val="18"/>
              </w:rPr>
              <w:t xml:space="preserve">, </w:t>
            </w:r>
            <w:r w:rsidRPr="00CE5519">
              <w:rPr>
                <w:sz w:val="18"/>
                <w:szCs w:val="18"/>
              </w:rPr>
              <w:t>we assumed that dosing for each drug was equivalent to monotherapy indications</w:t>
            </w:r>
          </w:p>
        </w:tc>
        <w:tc>
          <w:tcPr>
            <w:tcW w:w="4230" w:type="dxa"/>
            <w:vAlign w:val="center"/>
          </w:tcPr>
          <w:p w14:paraId="699F4A77" w14:textId="1CE36953" w:rsidR="0079101F" w:rsidRPr="00CE5519" w:rsidRDefault="0079101F"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15089, 15090, 15091, 15101,</w:t>
            </w:r>
          </w:p>
          <w:p w14:paraId="44BF04B9" w14:textId="5B4C4B2D" w:rsidR="0079101F" w:rsidRPr="00CE5519" w:rsidRDefault="0079101F"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15102, 15103,</w:t>
            </w:r>
          </w:p>
          <w:p w14:paraId="76F69B78" w14:textId="57F720AE" w:rsidR="001569C6" w:rsidRPr="00CE5519" w:rsidRDefault="0079101F"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15113, 15114, 15115</w:t>
            </w:r>
          </w:p>
        </w:tc>
      </w:tr>
      <w:tr w:rsidR="001569C6" w:rsidRPr="00CE5519" w14:paraId="4BE3BBFE"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754F6E12" w14:textId="5802783B" w:rsidR="001569C6" w:rsidRPr="00CE5519" w:rsidRDefault="001569C6" w:rsidP="00CE5519">
            <w:pPr>
              <w:numPr>
                <w:ilvl w:val="0"/>
                <w:numId w:val="0"/>
              </w:numPr>
              <w:ind w:left="360"/>
              <w:rPr>
                <w:b w:val="0"/>
                <w:bCs w:val="0"/>
                <w:sz w:val="18"/>
                <w:szCs w:val="18"/>
              </w:rPr>
            </w:pPr>
            <w:r w:rsidRPr="00CE5519">
              <w:rPr>
                <w:b w:val="0"/>
                <w:bCs w:val="0"/>
                <w:sz w:val="18"/>
                <w:szCs w:val="18"/>
              </w:rPr>
              <w:t>Brain (CNS)</w:t>
            </w:r>
          </w:p>
        </w:tc>
        <w:tc>
          <w:tcPr>
            <w:tcW w:w="3038" w:type="dxa"/>
            <w:vAlign w:val="center"/>
          </w:tcPr>
          <w:p w14:paraId="033EA094" w14:textId="073571CE" w:rsidR="001569C6" w:rsidRPr="00CE5519" w:rsidRDefault="0016621A"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Somatostatin analogue</w:t>
            </w:r>
          </w:p>
        </w:tc>
        <w:tc>
          <w:tcPr>
            <w:tcW w:w="4085" w:type="dxa"/>
            <w:vAlign w:val="center"/>
          </w:tcPr>
          <w:p w14:paraId="14A300F2" w14:textId="1B1EB508" w:rsidR="001569C6" w:rsidRPr="00CE5519" w:rsidRDefault="0016621A"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w:t>
            </w:r>
            <w:r w:rsidR="001569C6" w:rsidRPr="00CE5519">
              <w:rPr>
                <w:sz w:val="18"/>
                <w:szCs w:val="18"/>
              </w:rPr>
              <w:t>e assumed octreotide was used.</w:t>
            </w:r>
          </w:p>
        </w:tc>
        <w:tc>
          <w:tcPr>
            <w:tcW w:w="4230" w:type="dxa"/>
            <w:vAlign w:val="center"/>
          </w:tcPr>
          <w:p w14:paraId="4C67F9B7" w14:textId="4B0EE2B9" w:rsidR="001569C6" w:rsidRPr="00CE5519" w:rsidRDefault="0079101F"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15158</w:t>
            </w:r>
          </w:p>
        </w:tc>
      </w:tr>
      <w:tr w:rsidR="001569C6" w:rsidRPr="00CE5519" w14:paraId="68A1C5DB"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7AAFE94B" w14:textId="200305E1" w:rsidR="001569C6" w:rsidRPr="00CE5519" w:rsidRDefault="001569C6" w:rsidP="00CE5519">
            <w:pPr>
              <w:numPr>
                <w:ilvl w:val="0"/>
                <w:numId w:val="0"/>
              </w:numPr>
              <w:ind w:left="360"/>
              <w:rPr>
                <w:b w:val="0"/>
                <w:bCs w:val="0"/>
                <w:sz w:val="18"/>
                <w:szCs w:val="18"/>
              </w:rPr>
            </w:pPr>
            <w:r w:rsidRPr="00CE5519">
              <w:rPr>
                <w:b w:val="0"/>
                <w:bCs w:val="0"/>
                <w:sz w:val="18"/>
                <w:szCs w:val="18"/>
              </w:rPr>
              <w:t>Breast</w:t>
            </w:r>
          </w:p>
        </w:tc>
        <w:tc>
          <w:tcPr>
            <w:tcW w:w="3038" w:type="dxa"/>
            <w:vAlign w:val="center"/>
          </w:tcPr>
          <w:p w14:paraId="4995E346" w14:textId="1814D110" w:rsidR="001569C6" w:rsidRPr="00CE5519" w:rsidRDefault="0086022A"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Doxorubicin</w:t>
            </w:r>
          </w:p>
        </w:tc>
        <w:tc>
          <w:tcPr>
            <w:tcW w:w="4085" w:type="dxa"/>
            <w:vAlign w:val="center"/>
          </w:tcPr>
          <w:p w14:paraId="163CC62E" w14:textId="12DCF3EC"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In some cases, the neutropenic fever risk level for doxorubicin-based regimens was inferred from regimens for soft tissue sarcoma with equivalent doxorubicin dosing</w:t>
            </w:r>
          </w:p>
        </w:tc>
        <w:tc>
          <w:tcPr>
            <w:tcW w:w="4230" w:type="dxa"/>
            <w:vAlign w:val="center"/>
          </w:tcPr>
          <w:p w14:paraId="348B8CB5" w14:textId="77E0D045" w:rsidR="001569C6" w:rsidRPr="00CE5519" w:rsidRDefault="001569C6"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14076</w:t>
            </w:r>
          </w:p>
        </w:tc>
      </w:tr>
      <w:tr w:rsidR="001569C6" w:rsidRPr="00CE5519" w14:paraId="7577705E"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2130550D" w14:textId="06A2D571" w:rsidR="001569C6" w:rsidRPr="00CE5519" w:rsidRDefault="001569C6" w:rsidP="00CE5519">
            <w:pPr>
              <w:numPr>
                <w:ilvl w:val="0"/>
                <w:numId w:val="0"/>
              </w:numPr>
              <w:ind w:left="360"/>
              <w:rPr>
                <w:b w:val="0"/>
                <w:bCs w:val="0"/>
                <w:sz w:val="18"/>
                <w:szCs w:val="18"/>
              </w:rPr>
            </w:pPr>
            <w:r w:rsidRPr="00CE5519">
              <w:rPr>
                <w:b w:val="0"/>
                <w:bCs w:val="0"/>
                <w:sz w:val="18"/>
                <w:szCs w:val="18"/>
              </w:rPr>
              <w:t>Breast</w:t>
            </w:r>
          </w:p>
        </w:tc>
        <w:tc>
          <w:tcPr>
            <w:tcW w:w="3038" w:type="dxa"/>
            <w:vAlign w:val="center"/>
          </w:tcPr>
          <w:p w14:paraId="563B9C2D" w14:textId="1A86FCC3" w:rsidR="001569C6" w:rsidRPr="00CE5519" w:rsidRDefault="0086022A"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CE5519">
              <w:rPr>
                <w:sz w:val="18"/>
                <w:szCs w:val="18"/>
              </w:rPr>
              <w:t>Fulvestrant</w:t>
            </w:r>
            <w:proofErr w:type="spellEnd"/>
            <w:r w:rsidRPr="00CE5519">
              <w:rPr>
                <w:sz w:val="18"/>
                <w:szCs w:val="18"/>
              </w:rPr>
              <w:t xml:space="preserve"> monotherapy</w:t>
            </w:r>
          </w:p>
        </w:tc>
        <w:tc>
          <w:tcPr>
            <w:tcW w:w="4085" w:type="dxa"/>
            <w:vAlign w:val="center"/>
          </w:tcPr>
          <w:p w14:paraId="47E35CFD" w14:textId="3E685B4A" w:rsidR="001569C6" w:rsidRPr="00CE5519" w:rsidRDefault="0086022A"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D</w:t>
            </w:r>
            <w:r w:rsidR="001569C6" w:rsidRPr="00CE5519">
              <w:rPr>
                <w:sz w:val="18"/>
                <w:szCs w:val="18"/>
              </w:rPr>
              <w:t>osed per: https://pubmed.ncbi.nlm.nih.gov/24317176/</w:t>
            </w:r>
          </w:p>
        </w:tc>
        <w:tc>
          <w:tcPr>
            <w:tcW w:w="4230" w:type="dxa"/>
            <w:vAlign w:val="center"/>
          </w:tcPr>
          <w:p w14:paraId="78732C4D" w14:textId="308180F2" w:rsidR="001569C6" w:rsidRPr="00CE5519" w:rsidRDefault="001569C6"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14073, 14128</w:t>
            </w:r>
          </w:p>
        </w:tc>
      </w:tr>
      <w:tr w:rsidR="001569C6" w:rsidRPr="00CE5519" w14:paraId="3DA5D356"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021EC3A8" w14:textId="733C8194" w:rsidR="001569C6" w:rsidRPr="00CE5519" w:rsidRDefault="001569C6" w:rsidP="00CE5519">
            <w:pPr>
              <w:numPr>
                <w:ilvl w:val="0"/>
                <w:numId w:val="0"/>
              </w:numPr>
              <w:ind w:left="360"/>
              <w:rPr>
                <w:b w:val="0"/>
                <w:bCs w:val="0"/>
                <w:sz w:val="18"/>
                <w:szCs w:val="18"/>
              </w:rPr>
            </w:pPr>
            <w:r w:rsidRPr="00CE5519">
              <w:rPr>
                <w:b w:val="0"/>
                <w:bCs w:val="0"/>
                <w:sz w:val="18"/>
                <w:szCs w:val="18"/>
              </w:rPr>
              <w:t>Breast</w:t>
            </w:r>
          </w:p>
        </w:tc>
        <w:tc>
          <w:tcPr>
            <w:tcW w:w="3038" w:type="dxa"/>
            <w:vAlign w:val="center"/>
          </w:tcPr>
          <w:p w14:paraId="7144C118" w14:textId="068A55B5" w:rsidR="001569C6" w:rsidRPr="00CE5519" w:rsidRDefault="00F9146B"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c>
          <w:tcPr>
            <w:tcW w:w="4085" w:type="dxa"/>
            <w:vAlign w:val="center"/>
          </w:tcPr>
          <w:p w14:paraId="75B0B758" w14:textId="7343F769"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cases where the aromatase inhibitor is not specified, we used the lowest-cost AI drug</w:t>
            </w:r>
          </w:p>
        </w:tc>
        <w:tc>
          <w:tcPr>
            <w:tcW w:w="4230" w:type="dxa"/>
            <w:vAlign w:val="center"/>
          </w:tcPr>
          <w:p w14:paraId="1776A508" w14:textId="4482F9CE" w:rsidR="001569C6" w:rsidRPr="00CE5519" w:rsidRDefault="0086022A"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r>
      <w:tr w:rsidR="001569C6" w:rsidRPr="00CE5519" w14:paraId="3B1A35C9"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1DA96342" w14:textId="11775FAC" w:rsidR="001569C6" w:rsidRPr="00CE5519" w:rsidRDefault="001569C6" w:rsidP="00CE5519">
            <w:pPr>
              <w:numPr>
                <w:ilvl w:val="0"/>
                <w:numId w:val="0"/>
              </w:numPr>
              <w:ind w:left="360"/>
              <w:rPr>
                <w:b w:val="0"/>
                <w:bCs w:val="0"/>
                <w:sz w:val="18"/>
                <w:szCs w:val="18"/>
              </w:rPr>
            </w:pPr>
            <w:r w:rsidRPr="00CE5519">
              <w:rPr>
                <w:b w:val="0"/>
                <w:bCs w:val="0"/>
                <w:sz w:val="18"/>
                <w:szCs w:val="18"/>
              </w:rPr>
              <w:t>Breast</w:t>
            </w:r>
          </w:p>
        </w:tc>
        <w:tc>
          <w:tcPr>
            <w:tcW w:w="3038" w:type="dxa"/>
            <w:vAlign w:val="center"/>
          </w:tcPr>
          <w:p w14:paraId="665762C8" w14:textId="77777777" w:rsidR="001569C6" w:rsidRPr="00CE5519" w:rsidRDefault="00A548D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Tamoxifen and trastuzumab</w:t>
            </w:r>
          </w:p>
          <w:p w14:paraId="0651ACBA" w14:textId="0D18F145" w:rsidR="00A548DC" w:rsidRPr="00CE5519" w:rsidRDefault="00A548D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Aromatase inhibitor, lapatinib, and trastuzumab</w:t>
            </w:r>
          </w:p>
        </w:tc>
        <w:tc>
          <w:tcPr>
            <w:tcW w:w="4085" w:type="dxa"/>
            <w:vAlign w:val="center"/>
          </w:tcPr>
          <w:p w14:paraId="065C1592" w14:textId="2B9E0BF3"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For tamoxifen + trastuzumab regimen, we used trastuzumab dosing from when given WITHOUT concurrent chemotherapy. Same with </w:t>
            </w:r>
            <w:proofErr w:type="spellStart"/>
            <w:r w:rsidRPr="00CE5519">
              <w:rPr>
                <w:sz w:val="18"/>
                <w:szCs w:val="18"/>
              </w:rPr>
              <w:t>AI+trastuzumab</w:t>
            </w:r>
            <w:proofErr w:type="spellEnd"/>
            <w:r w:rsidRPr="00CE5519">
              <w:rPr>
                <w:sz w:val="18"/>
                <w:szCs w:val="18"/>
              </w:rPr>
              <w:t xml:space="preserve"> and </w:t>
            </w:r>
            <w:proofErr w:type="spellStart"/>
            <w:r w:rsidRPr="00CE5519">
              <w:rPr>
                <w:sz w:val="18"/>
                <w:szCs w:val="18"/>
              </w:rPr>
              <w:t>lapatinib+trastuzumab</w:t>
            </w:r>
            <w:proofErr w:type="spellEnd"/>
          </w:p>
        </w:tc>
        <w:tc>
          <w:tcPr>
            <w:tcW w:w="4230" w:type="dxa"/>
            <w:vAlign w:val="center"/>
          </w:tcPr>
          <w:p w14:paraId="15B425C8" w14:textId="4F46F01A" w:rsidR="001569C6" w:rsidRPr="00CE5519" w:rsidRDefault="00A548DC"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14045, 14071, 14074</w:t>
            </w:r>
          </w:p>
        </w:tc>
      </w:tr>
      <w:tr w:rsidR="001569C6" w:rsidRPr="00CE5519" w14:paraId="1902B57C"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778E2879" w14:textId="693D212C" w:rsidR="001569C6" w:rsidRPr="00CE5519" w:rsidRDefault="001569C6" w:rsidP="00CE5519">
            <w:pPr>
              <w:numPr>
                <w:ilvl w:val="0"/>
                <w:numId w:val="0"/>
              </w:numPr>
              <w:ind w:left="360"/>
              <w:rPr>
                <w:b w:val="0"/>
                <w:bCs w:val="0"/>
                <w:sz w:val="18"/>
                <w:szCs w:val="18"/>
              </w:rPr>
            </w:pPr>
            <w:r w:rsidRPr="00CE5519">
              <w:rPr>
                <w:b w:val="0"/>
                <w:bCs w:val="0"/>
                <w:sz w:val="18"/>
                <w:szCs w:val="18"/>
              </w:rPr>
              <w:t>Cervical</w:t>
            </w:r>
          </w:p>
        </w:tc>
        <w:tc>
          <w:tcPr>
            <w:tcW w:w="3038" w:type="dxa"/>
            <w:vAlign w:val="center"/>
          </w:tcPr>
          <w:p w14:paraId="23B39C99" w14:textId="0690E13B" w:rsidR="001569C6" w:rsidRPr="00CE5519" w:rsidRDefault="0086022A"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Carboplatin monotherapy</w:t>
            </w:r>
          </w:p>
        </w:tc>
        <w:tc>
          <w:tcPr>
            <w:tcW w:w="4085" w:type="dxa"/>
            <w:vAlign w:val="center"/>
          </w:tcPr>
          <w:p w14:paraId="3C8B7020" w14:textId="2EBA9259" w:rsidR="001569C6" w:rsidRPr="00CE5519" w:rsidRDefault="0086022A"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D</w:t>
            </w:r>
            <w:r w:rsidR="001569C6" w:rsidRPr="00CE5519">
              <w:rPr>
                <w:sz w:val="18"/>
                <w:szCs w:val="18"/>
              </w:rPr>
              <w:t>osing was specified in terms of mg/m2. We converted this dose into an AUC-based dose under assumptions of normal renal function.</w:t>
            </w:r>
          </w:p>
        </w:tc>
        <w:tc>
          <w:tcPr>
            <w:tcW w:w="4230" w:type="dxa"/>
            <w:vAlign w:val="center"/>
          </w:tcPr>
          <w:p w14:paraId="4C594D99" w14:textId="384404F5" w:rsidR="001569C6" w:rsidRPr="00CE5519" w:rsidRDefault="001569C6"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16012</w:t>
            </w:r>
          </w:p>
        </w:tc>
      </w:tr>
      <w:tr w:rsidR="001569C6" w:rsidRPr="00CE5519" w14:paraId="754D40A5"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17F913CA" w14:textId="247F0F56" w:rsidR="001569C6" w:rsidRPr="00CE5519" w:rsidRDefault="001569C6" w:rsidP="00CE5519">
            <w:pPr>
              <w:numPr>
                <w:ilvl w:val="0"/>
                <w:numId w:val="0"/>
              </w:numPr>
              <w:ind w:left="360"/>
              <w:rPr>
                <w:b w:val="0"/>
                <w:bCs w:val="0"/>
                <w:sz w:val="18"/>
                <w:szCs w:val="18"/>
              </w:rPr>
            </w:pPr>
            <w:r w:rsidRPr="00CE5519">
              <w:rPr>
                <w:b w:val="0"/>
                <w:bCs w:val="0"/>
                <w:sz w:val="18"/>
                <w:szCs w:val="18"/>
              </w:rPr>
              <w:t>Chronic Lymphocytic Leukemia (CLL)</w:t>
            </w:r>
          </w:p>
        </w:tc>
        <w:tc>
          <w:tcPr>
            <w:tcW w:w="3038" w:type="dxa"/>
            <w:vAlign w:val="center"/>
          </w:tcPr>
          <w:p w14:paraId="4978F9A2" w14:textId="45441242" w:rsidR="001569C6" w:rsidRPr="00CE5519" w:rsidRDefault="0086022A"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Obinutuzumab monotherapy</w:t>
            </w:r>
          </w:p>
        </w:tc>
        <w:tc>
          <w:tcPr>
            <w:tcW w:w="4085" w:type="dxa"/>
            <w:vAlign w:val="center"/>
          </w:tcPr>
          <w:p w14:paraId="410DA01B" w14:textId="555D99E5" w:rsidR="001569C6" w:rsidRPr="00CE5519" w:rsidRDefault="0086022A"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D</w:t>
            </w:r>
            <w:r w:rsidR="001569C6" w:rsidRPr="00CE5519">
              <w:rPr>
                <w:sz w:val="18"/>
                <w:szCs w:val="18"/>
              </w:rPr>
              <w:t>osing reflects first line dosing per:</w:t>
            </w:r>
            <w:r w:rsidRPr="00CE5519">
              <w:rPr>
                <w:sz w:val="18"/>
                <w:szCs w:val="18"/>
              </w:rPr>
              <w:t xml:space="preserve"> </w:t>
            </w:r>
            <w:r w:rsidR="001569C6" w:rsidRPr="00CE5519">
              <w:rPr>
                <w:sz w:val="18"/>
                <w:szCs w:val="18"/>
              </w:rPr>
              <w:t>https://ashpublications.org/blood/article/127/1/79/34915/Randomized-phase-2-study-of-obinutuzumab</w:t>
            </w:r>
          </w:p>
        </w:tc>
        <w:tc>
          <w:tcPr>
            <w:tcW w:w="4230" w:type="dxa"/>
            <w:vAlign w:val="center"/>
          </w:tcPr>
          <w:p w14:paraId="42C406FF" w14:textId="4D397CAA" w:rsidR="001569C6" w:rsidRPr="00CE5519" w:rsidRDefault="001569C6"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17011,</w:t>
            </w:r>
            <w:r w:rsidR="007D6A62" w:rsidRPr="00CE5519">
              <w:rPr>
                <w:sz w:val="18"/>
                <w:szCs w:val="18"/>
              </w:rPr>
              <w:t xml:space="preserve"> </w:t>
            </w:r>
            <w:r w:rsidRPr="00CE5519">
              <w:rPr>
                <w:sz w:val="18"/>
                <w:szCs w:val="18"/>
              </w:rPr>
              <w:t>17048, 17070, 17083</w:t>
            </w:r>
          </w:p>
        </w:tc>
      </w:tr>
      <w:tr w:rsidR="001569C6" w:rsidRPr="00CE5519" w14:paraId="5794082E"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2FB5FC3E" w14:textId="3434F035" w:rsidR="001569C6" w:rsidRPr="00CE5519" w:rsidRDefault="001569C6" w:rsidP="00CE5519">
            <w:pPr>
              <w:numPr>
                <w:ilvl w:val="0"/>
                <w:numId w:val="0"/>
              </w:numPr>
              <w:ind w:left="360"/>
              <w:rPr>
                <w:b w:val="0"/>
                <w:bCs w:val="0"/>
                <w:sz w:val="18"/>
                <w:szCs w:val="18"/>
              </w:rPr>
            </w:pPr>
            <w:r w:rsidRPr="00CE5519">
              <w:rPr>
                <w:b w:val="0"/>
                <w:bCs w:val="0"/>
                <w:sz w:val="18"/>
                <w:szCs w:val="18"/>
              </w:rPr>
              <w:t>Chronic Lymphocytic Leukemia (CLL)</w:t>
            </w:r>
          </w:p>
        </w:tc>
        <w:tc>
          <w:tcPr>
            <w:tcW w:w="3038" w:type="dxa"/>
            <w:vAlign w:val="center"/>
          </w:tcPr>
          <w:p w14:paraId="6D31A2FC" w14:textId="404CB039" w:rsidR="004023AC" w:rsidRPr="00CE5519" w:rsidRDefault="0086022A"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Nivolumab and rituximab</w:t>
            </w:r>
          </w:p>
          <w:p w14:paraId="739AAB90" w14:textId="24469343" w:rsidR="001569C6" w:rsidRPr="00CE5519" w:rsidRDefault="0086022A"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Pembrolizumab and rituximab</w:t>
            </w:r>
          </w:p>
        </w:tc>
        <w:tc>
          <w:tcPr>
            <w:tcW w:w="4085" w:type="dxa"/>
            <w:vAlign w:val="center"/>
          </w:tcPr>
          <w:p w14:paraId="0FB4B9BD" w14:textId="5DB2F618"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Richter's transformation to DLBCL; we noted that some editions of the NCCN Guidelines appear to erroneously refer to the regimens of [nivolumab or pembrolizumab] + rituximab as [nivolumab or pembrolizumab] + ibrutinib.</w:t>
            </w:r>
          </w:p>
        </w:tc>
        <w:tc>
          <w:tcPr>
            <w:tcW w:w="4230" w:type="dxa"/>
            <w:vAlign w:val="center"/>
          </w:tcPr>
          <w:p w14:paraId="2346360B" w14:textId="2C9ECEE9" w:rsidR="001569C6" w:rsidRPr="00CE5519" w:rsidRDefault="001569C6"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17105</w:t>
            </w:r>
            <w:r w:rsidR="00725EBD" w:rsidRPr="00CE5519">
              <w:rPr>
                <w:sz w:val="18"/>
                <w:szCs w:val="18"/>
              </w:rPr>
              <w:t xml:space="preserve">, </w:t>
            </w:r>
            <w:r w:rsidRPr="00CE5519">
              <w:rPr>
                <w:sz w:val="18"/>
                <w:szCs w:val="18"/>
              </w:rPr>
              <w:t>17107</w:t>
            </w:r>
          </w:p>
        </w:tc>
      </w:tr>
      <w:tr w:rsidR="001569C6" w:rsidRPr="00CE5519" w14:paraId="1967342A"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650AB1CA" w14:textId="63BB171C" w:rsidR="001569C6" w:rsidRPr="00CE5519" w:rsidRDefault="001569C6" w:rsidP="00CE5519">
            <w:pPr>
              <w:numPr>
                <w:ilvl w:val="0"/>
                <w:numId w:val="0"/>
              </w:numPr>
              <w:ind w:left="360"/>
              <w:rPr>
                <w:b w:val="0"/>
                <w:bCs w:val="0"/>
                <w:sz w:val="18"/>
                <w:szCs w:val="18"/>
              </w:rPr>
            </w:pPr>
            <w:r w:rsidRPr="00CE5519">
              <w:rPr>
                <w:b w:val="0"/>
                <w:bCs w:val="0"/>
                <w:sz w:val="18"/>
                <w:szCs w:val="18"/>
              </w:rPr>
              <w:t>Chronic Lymphocytic Leukemia (CLL)</w:t>
            </w:r>
          </w:p>
        </w:tc>
        <w:tc>
          <w:tcPr>
            <w:tcW w:w="3038" w:type="dxa"/>
            <w:vAlign w:val="center"/>
          </w:tcPr>
          <w:p w14:paraId="28608D02" w14:textId="77777777" w:rsidR="00A548DC" w:rsidRPr="00CE5519" w:rsidRDefault="00A548D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Chlorambucil monotherapy</w:t>
            </w:r>
          </w:p>
          <w:p w14:paraId="66536D7E" w14:textId="768C0927" w:rsidR="001569C6" w:rsidRPr="00CE5519" w:rsidRDefault="00A548D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Rituximab monotherapy</w:t>
            </w:r>
          </w:p>
        </w:tc>
        <w:tc>
          <w:tcPr>
            <w:tcW w:w="4085" w:type="dxa"/>
            <w:vAlign w:val="center"/>
          </w:tcPr>
          <w:p w14:paraId="299C762F" w14:textId="68AC6AAA" w:rsidR="001569C6" w:rsidRPr="00CE5519" w:rsidRDefault="00A548D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w:t>
            </w:r>
            <w:r w:rsidR="001569C6" w:rsidRPr="00CE5519">
              <w:rPr>
                <w:sz w:val="18"/>
                <w:szCs w:val="18"/>
              </w:rPr>
              <w:t>e inferred the dosing schedule from chlorambucil + rituximab combination therapy.</w:t>
            </w:r>
          </w:p>
        </w:tc>
        <w:tc>
          <w:tcPr>
            <w:tcW w:w="4230" w:type="dxa"/>
            <w:vAlign w:val="center"/>
          </w:tcPr>
          <w:p w14:paraId="726EA2C4" w14:textId="6F10B9C9" w:rsidR="001569C6" w:rsidRPr="00CE5519" w:rsidRDefault="00A548DC"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17012, 17013, 17021, 17022</w:t>
            </w:r>
          </w:p>
        </w:tc>
      </w:tr>
      <w:tr w:rsidR="001569C6" w:rsidRPr="00CE5519" w14:paraId="576F0634"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2748E595" w14:textId="14758FC0" w:rsidR="001569C6" w:rsidRPr="00CE5519" w:rsidRDefault="001569C6" w:rsidP="00CE5519">
            <w:pPr>
              <w:numPr>
                <w:ilvl w:val="0"/>
                <w:numId w:val="0"/>
              </w:numPr>
              <w:ind w:left="360"/>
              <w:rPr>
                <w:b w:val="0"/>
                <w:bCs w:val="0"/>
                <w:sz w:val="18"/>
                <w:szCs w:val="18"/>
              </w:rPr>
            </w:pPr>
            <w:r w:rsidRPr="00CE5519">
              <w:rPr>
                <w:b w:val="0"/>
                <w:bCs w:val="0"/>
                <w:sz w:val="18"/>
                <w:szCs w:val="18"/>
              </w:rPr>
              <w:t>Chronic Lymphocytic Leukemia (CLL)</w:t>
            </w:r>
          </w:p>
        </w:tc>
        <w:tc>
          <w:tcPr>
            <w:tcW w:w="3038" w:type="dxa"/>
            <w:vAlign w:val="center"/>
          </w:tcPr>
          <w:p w14:paraId="329C530E" w14:textId="244FC93D" w:rsidR="001569C6" w:rsidRPr="00CE5519" w:rsidRDefault="000F10F5"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c>
          <w:tcPr>
            <w:tcW w:w="4085" w:type="dxa"/>
            <w:vAlign w:val="center"/>
          </w:tcPr>
          <w:p w14:paraId="322B1654" w14:textId="7D18651B"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DLBCL transformation, we followed dosing levels and number of cycles for advanced DLBCL contained in the NCCN Guidelines for lymphoma</w:t>
            </w:r>
          </w:p>
        </w:tc>
        <w:tc>
          <w:tcPr>
            <w:tcW w:w="4230" w:type="dxa"/>
            <w:vAlign w:val="center"/>
          </w:tcPr>
          <w:p w14:paraId="3A0470FA" w14:textId="5B965865" w:rsidR="001569C6" w:rsidRPr="00CE5519" w:rsidRDefault="000E09FA"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r>
      <w:tr w:rsidR="001569C6" w:rsidRPr="00CE5519" w14:paraId="1D09048A"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594DDB7F" w14:textId="2BEBAB08" w:rsidR="001569C6" w:rsidRPr="00CE5519" w:rsidRDefault="001569C6" w:rsidP="00CE5519">
            <w:pPr>
              <w:numPr>
                <w:ilvl w:val="0"/>
                <w:numId w:val="0"/>
              </w:numPr>
              <w:ind w:left="360"/>
              <w:rPr>
                <w:b w:val="0"/>
                <w:bCs w:val="0"/>
                <w:sz w:val="18"/>
                <w:szCs w:val="18"/>
              </w:rPr>
            </w:pPr>
            <w:r w:rsidRPr="00CE5519">
              <w:rPr>
                <w:b w:val="0"/>
                <w:bCs w:val="0"/>
                <w:sz w:val="18"/>
                <w:szCs w:val="18"/>
              </w:rPr>
              <w:t xml:space="preserve">Chronic Lymphocytic </w:t>
            </w:r>
            <w:r w:rsidRPr="00CE5519">
              <w:rPr>
                <w:b w:val="0"/>
                <w:bCs w:val="0"/>
                <w:sz w:val="18"/>
                <w:szCs w:val="18"/>
              </w:rPr>
              <w:lastRenderedPageBreak/>
              <w:t>Leukemia (CLL)</w:t>
            </w:r>
          </w:p>
        </w:tc>
        <w:tc>
          <w:tcPr>
            <w:tcW w:w="3038" w:type="dxa"/>
            <w:vAlign w:val="center"/>
          </w:tcPr>
          <w:p w14:paraId="0598EAC8" w14:textId="77777777" w:rsidR="001569C6" w:rsidRPr="00CE5519" w:rsidRDefault="00A548D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lastRenderedPageBreak/>
              <w:t>Nivolumab and rituximab</w:t>
            </w:r>
          </w:p>
          <w:p w14:paraId="1AEA727A" w14:textId="27BEDEFA" w:rsidR="00A548DC" w:rsidRPr="00CE5519" w:rsidRDefault="00A548D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lastRenderedPageBreak/>
              <w:t>Pembrolizumab and rituximab</w:t>
            </w:r>
          </w:p>
        </w:tc>
        <w:tc>
          <w:tcPr>
            <w:tcW w:w="4085" w:type="dxa"/>
            <w:vAlign w:val="center"/>
          </w:tcPr>
          <w:p w14:paraId="2F3675E8" w14:textId="52ABC4C8" w:rsidR="001569C6" w:rsidRPr="00CE5519" w:rsidRDefault="00A548D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lastRenderedPageBreak/>
              <w:t>D</w:t>
            </w:r>
            <w:r w:rsidR="001569C6" w:rsidRPr="00CE5519">
              <w:rPr>
                <w:sz w:val="18"/>
                <w:szCs w:val="18"/>
              </w:rPr>
              <w:t>osing for each drug was inferred based on standard dosing schedules because no specific guidance for these combination regimens was available.</w:t>
            </w:r>
          </w:p>
        </w:tc>
        <w:tc>
          <w:tcPr>
            <w:tcW w:w="4230" w:type="dxa"/>
            <w:vAlign w:val="center"/>
          </w:tcPr>
          <w:p w14:paraId="575618FA" w14:textId="1094B4F6" w:rsidR="001569C6" w:rsidRPr="00CE5519" w:rsidRDefault="00A548DC"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17105, 17107</w:t>
            </w:r>
          </w:p>
        </w:tc>
      </w:tr>
      <w:tr w:rsidR="001569C6" w:rsidRPr="00CE5519" w14:paraId="7B878963"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7DFFF42D" w14:textId="0EB3C558" w:rsidR="001569C6" w:rsidRPr="00CE5519" w:rsidRDefault="001569C6" w:rsidP="00CE5519">
            <w:pPr>
              <w:numPr>
                <w:ilvl w:val="0"/>
                <w:numId w:val="0"/>
              </w:numPr>
              <w:ind w:left="360"/>
              <w:rPr>
                <w:b w:val="0"/>
                <w:bCs w:val="0"/>
                <w:sz w:val="18"/>
                <w:szCs w:val="18"/>
              </w:rPr>
            </w:pPr>
            <w:r w:rsidRPr="00CE5519">
              <w:rPr>
                <w:b w:val="0"/>
                <w:bCs w:val="0"/>
                <w:sz w:val="18"/>
                <w:szCs w:val="18"/>
              </w:rPr>
              <w:t>Chronic Lymphocytic Leukemia (CLL)</w:t>
            </w:r>
          </w:p>
        </w:tc>
        <w:tc>
          <w:tcPr>
            <w:tcW w:w="3038" w:type="dxa"/>
            <w:vAlign w:val="center"/>
          </w:tcPr>
          <w:p w14:paraId="5F475E94" w14:textId="1D7E51E6" w:rsidR="001569C6" w:rsidRPr="00CE5519" w:rsidRDefault="0086022A"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CE5519">
              <w:rPr>
                <w:sz w:val="18"/>
                <w:szCs w:val="18"/>
              </w:rPr>
              <w:t>Venetoclax</w:t>
            </w:r>
            <w:proofErr w:type="spellEnd"/>
            <w:r w:rsidRPr="00CE5519">
              <w:rPr>
                <w:sz w:val="18"/>
                <w:szCs w:val="18"/>
              </w:rPr>
              <w:t xml:space="preserve"> and rituximab</w:t>
            </w:r>
          </w:p>
        </w:tc>
        <w:tc>
          <w:tcPr>
            <w:tcW w:w="4085" w:type="dxa"/>
            <w:vAlign w:val="center"/>
          </w:tcPr>
          <w:p w14:paraId="500433E6" w14:textId="3597D4C1"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For </w:t>
            </w:r>
            <w:proofErr w:type="spellStart"/>
            <w:r w:rsidRPr="00CE5519">
              <w:rPr>
                <w:sz w:val="18"/>
                <w:szCs w:val="18"/>
              </w:rPr>
              <w:t>venetoclax</w:t>
            </w:r>
            <w:proofErr w:type="spellEnd"/>
            <w:r w:rsidRPr="00CE5519">
              <w:rPr>
                <w:sz w:val="18"/>
                <w:szCs w:val="18"/>
              </w:rPr>
              <w:t>-based regimens, we assumed a treatment course of 1 year</w:t>
            </w:r>
          </w:p>
        </w:tc>
        <w:tc>
          <w:tcPr>
            <w:tcW w:w="4230" w:type="dxa"/>
            <w:vAlign w:val="center"/>
          </w:tcPr>
          <w:p w14:paraId="4C47DA1E" w14:textId="0B383ACB" w:rsidR="001569C6" w:rsidRPr="00CE5519" w:rsidRDefault="001569C6"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17036, 17057, 17086</w:t>
            </w:r>
          </w:p>
        </w:tc>
      </w:tr>
      <w:tr w:rsidR="001569C6" w:rsidRPr="00CE5519" w14:paraId="75FF7DA9"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19AE88AA" w14:textId="0734429C" w:rsidR="001569C6" w:rsidRPr="00CE5519" w:rsidRDefault="001569C6" w:rsidP="00CE5519">
            <w:pPr>
              <w:numPr>
                <w:ilvl w:val="0"/>
                <w:numId w:val="0"/>
              </w:numPr>
              <w:ind w:left="360"/>
              <w:rPr>
                <w:b w:val="0"/>
                <w:bCs w:val="0"/>
                <w:sz w:val="18"/>
                <w:szCs w:val="18"/>
              </w:rPr>
            </w:pPr>
            <w:r w:rsidRPr="00CE5519">
              <w:rPr>
                <w:b w:val="0"/>
                <w:bCs w:val="0"/>
                <w:sz w:val="18"/>
                <w:szCs w:val="18"/>
              </w:rPr>
              <w:t>Chronic Myeloid Leukemia (CML)</w:t>
            </w:r>
          </w:p>
        </w:tc>
        <w:tc>
          <w:tcPr>
            <w:tcW w:w="3038" w:type="dxa"/>
            <w:vAlign w:val="center"/>
          </w:tcPr>
          <w:p w14:paraId="5727BD88" w14:textId="6B2D5786" w:rsidR="004023AC" w:rsidRPr="00CE5519" w:rsidRDefault="0086022A"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Bosutinib and steroids</w:t>
            </w:r>
          </w:p>
          <w:p w14:paraId="6044F069" w14:textId="4583A83D" w:rsidR="004023AC" w:rsidRPr="00CE5519" w:rsidRDefault="0086022A"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CE5519">
              <w:rPr>
                <w:sz w:val="18"/>
                <w:szCs w:val="18"/>
              </w:rPr>
              <w:t>Dasatinib</w:t>
            </w:r>
            <w:proofErr w:type="spellEnd"/>
            <w:r w:rsidRPr="00CE5519">
              <w:rPr>
                <w:sz w:val="18"/>
                <w:szCs w:val="18"/>
              </w:rPr>
              <w:t xml:space="preserve"> and steroids</w:t>
            </w:r>
          </w:p>
          <w:p w14:paraId="2ABDD619" w14:textId="66DA100A" w:rsidR="004023AC" w:rsidRPr="00CE5519" w:rsidRDefault="0086022A"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Imatinib and steroids</w:t>
            </w:r>
          </w:p>
          <w:p w14:paraId="6155F6D3" w14:textId="56A62E57" w:rsidR="004023AC" w:rsidRPr="00CE5519" w:rsidRDefault="0086022A"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Nilotinib and steroids</w:t>
            </w:r>
          </w:p>
          <w:p w14:paraId="57BD923C" w14:textId="41D346F5" w:rsidR="001569C6" w:rsidRPr="00CE5519" w:rsidRDefault="0086022A"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Ponatinib and steroids</w:t>
            </w:r>
          </w:p>
        </w:tc>
        <w:tc>
          <w:tcPr>
            <w:tcW w:w="4085" w:type="dxa"/>
            <w:vAlign w:val="center"/>
          </w:tcPr>
          <w:p w14:paraId="1E9FF5A5" w14:textId="3E4B9FDE"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For the steroid dose, we used 60 mg/m2 prednisone PO recommendations for Philadelphia chromosome positive ALL according to these sources: </w:t>
            </w:r>
            <w:hyperlink r:id="rId20" w:history="1">
              <w:r w:rsidRPr="00CE5519">
                <w:rPr>
                  <w:rStyle w:val="Hyperlink"/>
                  <w:i/>
                  <w:iCs/>
                  <w:sz w:val="18"/>
                  <w:szCs w:val="18"/>
                </w:rPr>
                <w:t>ponatinib</w:t>
              </w:r>
            </w:hyperlink>
            <w:r w:rsidRPr="00CE5519">
              <w:rPr>
                <w:sz w:val="18"/>
                <w:szCs w:val="18"/>
              </w:rPr>
              <w:t xml:space="preserve">, </w:t>
            </w:r>
            <w:hyperlink r:id="rId21" w:history="1">
              <w:proofErr w:type="spellStart"/>
              <w:r w:rsidRPr="00CE5519">
                <w:rPr>
                  <w:rStyle w:val="Hyperlink"/>
                  <w:i/>
                  <w:iCs/>
                  <w:sz w:val="18"/>
                  <w:szCs w:val="18"/>
                </w:rPr>
                <w:t>dasatinib</w:t>
              </w:r>
              <w:proofErr w:type="spellEnd"/>
            </w:hyperlink>
            <w:r w:rsidRPr="00CE5519">
              <w:rPr>
                <w:sz w:val="18"/>
                <w:szCs w:val="18"/>
              </w:rPr>
              <w:t>, and</w:t>
            </w:r>
            <w:hyperlink r:id="rId22" w:history="1">
              <w:r w:rsidRPr="00CE5519">
                <w:rPr>
                  <w:rStyle w:val="Hyperlink"/>
                  <w:i/>
                  <w:iCs/>
                  <w:sz w:val="18"/>
                  <w:szCs w:val="18"/>
                </w:rPr>
                <w:t xml:space="preserve"> imatinib</w:t>
              </w:r>
            </w:hyperlink>
          </w:p>
        </w:tc>
        <w:tc>
          <w:tcPr>
            <w:tcW w:w="4230" w:type="dxa"/>
            <w:vAlign w:val="center"/>
          </w:tcPr>
          <w:p w14:paraId="799F795A" w14:textId="4C7D3E43" w:rsidR="001569C6" w:rsidRPr="00CE5519" w:rsidRDefault="001569C6"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18020, 18022, 18024, 18026, 18028</w:t>
            </w:r>
          </w:p>
        </w:tc>
      </w:tr>
      <w:tr w:rsidR="001569C6" w:rsidRPr="00CE5519" w14:paraId="6CD4A772"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6584A1EC" w14:textId="7BCA68D4" w:rsidR="001569C6" w:rsidRPr="00CE5519" w:rsidRDefault="001569C6" w:rsidP="00CE5519">
            <w:pPr>
              <w:numPr>
                <w:ilvl w:val="0"/>
                <w:numId w:val="0"/>
              </w:numPr>
              <w:ind w:left="360"/>
              <w:rPr>
                <w:b w:val="0"/>
                <w:bCs w:val="0"/>
                <w:sz w:val="18"/>
                <w:szCs w:val="18"/>
              </w:rPr>
            </w:pPr>
            <w:r w:rsidRPr="00CE5519">
              <w:rPr>
                <w:b w:val="0"/>
                <w:bCs w:val="0"/>
                <w:sz w:val="18"/>
                <w:szCs w:val="18"/>
              </w:rPr>
              <w:t>Chronic Myeloid Leukemia (CML)</w:t>
            </w:r>
          </w:p>
        </w:tc>
        <w:tc>
          <w:tcPr>
            <w:tcW w:w="3038" w:type="dxa"/>
            <w:vAlign w:val="center"/>
          </w:tcPr>
          <w:p w14:paraId="2C44B95F" w14:textId="5D353506" w:rsidR="001569C6" w:rsidRPr="00CE5519" w:rsidRDefault="000D6D9D"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c>
          <w:tcPr>
            <w:tcW w:w="4085" w:type="dxa"/>
            <w:vAlign w:val="center"/>
          </w:tcPr>
          <w:p w14:paraId="638834CC" w14:textId="1F247AB7"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accelerated phase and blast phase, we assumed the highest dose TKI drugs would be used for drugs with a range of recommended doses.</w:t>
            </w:r>
          </w:p>
        </w:tc>
        <w:tc>
          <w:tcPr>
            <w:tcW w:w="4230" w:type="dxa"/>
            <w:vAlign w:val="center"/>
          </w:tcPr>
          <w:p w14:paraId="7B5E544A" w14:textId="2F854B3D" w:rsidR="001569C6" w:rsidRPr="00CE5519" w:rsidRDefault="000E09FA"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r>
      <w:tr w:rsidR="001569C6" w:rsidRPr="00CE5519" w14:paraId="6C42DFE0"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3528B754" w14:textId="55846EF5" w:rsidR="001569C6" w:rsidRPr="00CE5519" w:rsidRDefault="001569C6" w:rsidP="00CE5519">
            <w:pPr>
              <w:numPr>
                <w:ilvl w:val="0"/>
                <w:numId w:val="0"/>
              </w:numPr>
              <w:ind w:left="360"/>
              <w:rPr>
                <w:b w:val="0"/>
                <w:bCs w:val="0"/>
                <w:sz w:val="18"/>
                <w:szCs w:val="18"/>
              </w:rPr>
            </w:pPr>
            <w:r w:rsidRPr="00CE5519">
              <w:rPr>
                <w:b w:val="0"/>
                <w:bCs w:val="0"/>
                <w:sz w:val="18"/>
                <w:szCs w:val="18"/>
              </w:rPr>
              <w:t>Colon</w:t>
            </w:r>
          </w:p>
        </w:tc>
        <w:tc>
          <w:tcPr>
            <w:tcW w:w="3038" w:type="dxa"/>
            <w:vAlign w:val="center"/>
          </w:tcPr>
          <w:p w14:paraId="760DCF2E" w14:textId="5D400FB4" w:rsidR="001569C6" w:rsidRPr="00CE5519" w:rsidRDefault="000D6D9D"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c>
          <w:tcPr>
            <w:tcW w:w="4085" w:type="dxa"/>
            <w:vAlign w:val="center"/>
          </w:tcPr>
          <w:p w14:paraId="0AD2045C" w14:textId="54A19AD9"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Use 6 months of therapy as the standard duration for adjuvant therapy</w:t>
            </w:r>
          </w:p>
        </w:tc>
        <w:tc>
          <w:tcPr>
            <w:tcW w:w="4230" w:type="dxa"/>
            <w:vAlign w:val="center"/>
          </w:tcPr>
          <w:p w14:paraId="35FDFF96" w14:textId="27A42C97" w:rsidR="001569C6" w:rsidRPr="00CE5519" w:rsidRDefault="000E09FA"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r>
      <w:tr w:rsidR="001569C6" w:rsidRPr="00CE5519" w14:paraId="7407DD2E"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5C939207" w14:textId="56BE5B9C" w:rsidR="001569C6" w:rsidRPr="00CE5519" w:rsidRDefault="001569C6" w:rsidP="00CE5519">
            <w:pPr>
              <w:numPr>
                <w:ilvl w:val="0"/>
                <w:numId w:val="0"/>
              </w:numPr>
              <w:ind w:left="360"/>
              <w:rPr>
                <w:b w:val="0"/>
                <w:bCs w:val="0"/>
                <w:sz w:val="18"/>
                <w:szCs w:val="18"/>
              </w:rPr>
            </w:pPr>
            <w:r w:rsidRPr="00CE5519">
              <w:rPr>
                <w:b w:val="0"/>
                <w:bCs w:val="0"/>
                <w:sz w:val="18"/>
                <w:szCs w:val="18"/>
              </w:rPr>
              <w:t>Colon</w:t>
            </w:r>
          </w:p>
        </w:tc>
        <w:tc>
          <w:tcPr>
            <w:tcW w:w="3038" w:type="dxa"/>
            <w:vAlign w:val="center"/>
          </w:tcPr>
          <w:p w14:paraId="245607E9" w14:textId="7DA75523" w:rsidR="001569C6" w:rsidRPr="00CE5519" w:rsidRDefault="000D6D9D"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c>
          <w:tcPr>
            <w:tcW w:w="4085" w:type="dxa"/>
            <w:vAlign w:val="center"/>
          </w:tcPr>
          <w:p w14:paraId="137A48AB" w14:textId="01E4E228"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For neoadjuvant/adjuvant therapy for resectable metastatic disease, will use 6 cycles = 12 treatment days = 24 weeks = 6 months based on studies cited in UpToDate. While the </w:t>
            </w:r>
            <w:r w:rsidR="000332BD" w:rsidRPr="00CE5519">
              <w:rPr>
                <w:sz w:val="18"/>
                <w:szCs w:val="18"/>
              </w:rPr>
              <w:t>neoadjuvant</w:t>
            </w:r>
            <w:r w:rsidRPr="00CE5519">
              <w:rPr>
                <w:sz w:val="18"/>
                <w:szCs w:val="18"/>
              </w:rPr>
              <w:t xml:space="preserve"> period is usually "limited to 2-3 months" per NCCN, we assume that the remainder of the 6-month treatment period is administered adjuvant/post-surgical.</w:t>
            </w:r>
          </w:p>
        </w:tc>
        <w:tc>
          <w:tcPr>
            <w:tcW w:w="4230" w:type="dxa"/>
            <w:vAlign w:val="center"/>
          </w:tcPr>
          <w:p w14:paraId="5542857D" w14:textId="604F76FE" w:rsidR="001569C6" w:rsidRPr="00CE5519" w:rsidRDefault="000E09FA"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r>
      <w:tr w:rsidR="001569C6" w:rsidRPr="00CE5519" w14:paraId="0E8038AC"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6CBD2691" w14:textId="634D43F5" w:rsidR="001569C6" w:rsidRPr="00CE5519" w:rsidRDefault="001569C6" w:rsidP="00CE5519">
            <w:pPr>
              <w:numPr>
                <w:ilvl w:val="0"/>
                <w:numId w:val="0"/>
              </w:numPr>
              <w:ind w:left="360"/>
              <w:rPr>
                <w:b w:val="0"/>
                <w:bCs w:val="0"/>
                <w:sz w:val="18"/>
                <w:szCs w:val="18"/>
              </w:rPr>
            </w:pPr>
            <w:r w:rsidRPr="00CE5519">
              <w:rPr>
                <w:b w:val="0"/>
                <w:bCs w:val="0"/>
                <w:sz w:val="18"/>
                <w:szCs w:val="18"/>
              </w:rPr>
              <w:t>Colon</w:t>
            </w:r>
          </w:p>
        </w:tc>
        <w:tc>
          <w:tcPr>
            <w:tcW w:w="3038" w:type="dxa"/>
            <w:vAlign w:val="center"/>
          </w:tcPr>
          <w:p w14:paraId="35BBD36D" w14:textId="77777777" w:rsidR="001569C6" w:rsidRPr="00CE5519" w:rsidRDefault="00AF0EA1"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CE5519">
              <w:rPr>
                <w:sz w:val="18"/>
                <w:szCs w:val="18"/>
              </w:rPr>
              <w:t>CapeOx</w:t>
            </w:r>
            <w:proofErr w:type="spellEnd"/>
          </w:p>
          <w:p w14:paraId="695338DE" w14:textId="77777777" w:rsidR="00AF0EA1" w:rsidRPr="00CE5519" w:rsidRDefault="00AF0EA1"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CE5519">
              <w:rPr>
                <w:sz w:val="18"/>
                <w:szCs w:val="18"/>
              </w:rPr>
              <w:t>CapeOx</w:t>
            </w:r>
            <w:proofErr w:type="spellEnd"/>
            <w:r w:rsidRPr="00CE5519">
              <w:rPr>
                <w:sz w:val="18"/>
                <w:szCs w:val="18"/>
              </w:rPr>
              <w:t xml:space="preserve"> 3 months</w:t>
            </w:r>
          </w:p>
          <w:p w14:paraId="2F7D886E" w14:textId="0C865607" w:rsidR="00AF0EA1" w:rsidRPr="00CE5519" w:rsidRDefault="00AF0EA1"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CE5519">
              <w:rPr>
                <w:sz w:val="18"/>
                <w:szCs w:val="18"/>
              </w:rPr>
              <w:t>CapeOx</w:t>
            </w:r>
            <w:proofErr w:type="spellEnd"/>
            <w:r w:rsidRPr="00CE5519">
              <w:rPr>
                <w:sz w:val="18"/>
                <w:szCs w:val="18"/>
              </w:rPr>
              <w:t xml:space="preserve"> 6 months</w:t>
            </w:r>
          </w:p>
        </w:tc>
        <w:tc>
          <w:tcPr>
            <w:tcW w:w="4085" w:type="dxa"/>
            <w:vAlign w:val="center"/>
          </w:tcPr>
          <w:p w14:paraId="7DE7B242" w14:textId="0D245D94" w:rsidR="001569C6" w:rsidRPr="00CE5519" w:rsidRDefault="00AF0EA1"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w:t>
            </w:r>
            <w:r w:rsidR="001569C6" w:rsidRPr="00CE5519">
              <w:rPr>
                <w:sz w:val="18"/>
                <w:szCs w:val="18"/>
              </w:rPr>
              <w:t xml:space="preserve">e used a set </w:t>
            </w:r>
            <w:r w:rsidR="0016621A" w:rsidRPr="00CE5519">
              <w:rPr>
                <w:sz w:val="18"/>
                <w:szCs w:val="18"/>
              </w:rPr>
              <w:t>number</w:t>
            </w:r>
            <w:r w:rsidR="001569C6" w:rsidRPr="00CE5519">
              <w:rPr>
                <w:sz w:val="18"/>
                <w:szCs w:val="18"/>
              </w:rPr>
              <w:t xml:space="preserve"> of cycles for defined regimens and number of days-per-year for unlimited regimens. For </w:t>
            </w:r>
            <w:proofErr w:type="spellStart"/>
            <w:r w:rsidR="001569C6" w:rsidRPr="00CE5519">
              <w:rPr>
                <w:sz w:val="18"/>
                <w:szCs w:val="18"/>
              </w:rPr>
              <w:t>CapeOx</w:t>
            </w:r>
            <w:proofErr w:type="spellEnd"/>
            <w:r w:rsidR="001569C6" w:rsidRPr="00CE5519">
              <w:rPr>
                <w:sz w:val="18"/>
                <w:szCs w:val="18"/>
              </w:rPr>
              <w:t xml:space="preserve"> regimens specified as having a three-month treatment duration, this was assumed to comprise exactly four cycles</w:t>
            </w:r>
          </w:p>
        </w:tc>
        <w:tc>
          <w:tcPr>
            <w:tcW w:w="4230" w:type="dxa"/>
            <w:vAlign w:val="center"/>
          </w:tcPr>
          <w:p w14:paraId="3CAE8710" w14:textId="44D7469E" w:rsidR="001569C6" w:rsidRPr="00CE5519" w:rsidRDefault="00AF0EA1"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19002, 19013, 19014, 19020, 19021, 19027, 19030, 19043, 19047, 19054, 19111, 19114, 19137, 19158, 19212</w:t>
            </w:r>
          </w:p>
        </w:tc>
      </w:tr>
      <w:tr w:rsidR="001569C6" w:rsidRPr="00CE5519" w14:paraId="45971311"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680AD960" w14:textId="1CC9C862" w:rsidR="001569C6" w:rsidRPr="00CE5519" w:rsidRDefault="001569C6" w:rsidP="00CE5519">
            <w:pPr>
              <w:numPr>
                <w:ilvl w:val="0"/>
                <w:numId w:val="0"/>
              </w:numPr>
              <w:ind w:left="360"/>
              <w:rPr>
                <w:b w:val="0"/>
                <w:bCs w:val="0"/>
                <w:sz w:val="18"/>
                <w:szCs w:val="18"/>
              </w:rPr>
            </w:pPr>
            <w:r w:rsidRPr="00CE5519">
              <w:rPr>
                <w:b w:val="0"/>
                <w:bCs w:val="0"/>
                <w:sz w:val="18"/>
                <w:szCs w:val="18"/>
              </w:rPr>
              <w:t>Colon</w:t>
            </w:r>
          </w:p>
        </w:tc>
        <w:tc>
          <w:tcPr>
            <w:tcW w:w="3038" w:type="dxa"/>
            <w:vAlign w:val="center"/>
          </w:tcPr>
          <w:p w14:paraId="1A80E77A" w14:textId="77A3DCD6" w:rsidR="004023AC" w:rsidRPr="00CE5519" w:rsidRDefault="003F6C0E"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FOLFOX</w:t>
            </w:r>
          </w:p>
          <w:p w14:paraId="4B1B4958" w14:textId="645C0669" w:rsidR="004023AC" w:rsidRPr="00CE5519" w:rsidRDefault="003F6C0E"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FOLFOX and bevacizumab</w:t>
            </w:r>
          </w:p>
          <w:p w14:paraId="1287AF0F" w14:textId="396ECFF9" w:rsidR="004023AC" w:rsidRPr="00CE5519" w:rsidRDefault="004023AC"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FOLFOX and cetuximab</w:t>
            </w:r>
          </w:p>
          <w:p w14:paraId="03422F3D" w14:textId="14E1D1DC" w:rsidR="001569C6" w:rsidRPr="00CE5519" w:rsidRDefault="004023AC"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FOLFOX and panitumumab</w:t>
            </w:r>
          </w:p>
        </w:tc>
        <w:tc>
          <w:tcPr>
            <w:tcW w:w="4085" w:type="dxa"/>
            <w:vAlign w:val="center"/>
          </w:tcPr>
          <w:p w14:paraId="1D1AF833" w14:textId="6F26CB40"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There are several </w:t>
            </w:r>
            <w:r w:rsidR="00725EBD" w:rsidRPr="00CE5519">
              <w:rPr>
                <w:sz w:val="18"/>
                <w:szCs w:val="18"/>
              </w:rPr>
              <w:t>commonly used</w:t>
            </w:r>
            <w:r w:rsidRPr="00CE5519">
              <w:rPr>
                <w:sz w:val="18"/>
                <w:szCs w:val="18"/>
              </w:rPr>
              <w:t xml:space="preserve"> variations of the regimen known as “FOLFOX.” We followed dosing for mFOLFOX6 specifically, as detailed in NCCN guidelines. This FOLFOX schedule includes a 400 mg/m2 IV bolus infusion</w:t>
            </w:r>
          </w:p>
        </w:tc>
        <w:tc>
          <w:tcPr>
            <w:tcW w:w="4230" w:type="dxa"/>
            <w:vAlign w:val="center"/>
          </w:tcPr>
          <w:p w14:paraId="2EB0897C" w14:textId="1329600B" w:rsidR="001569C6" w:rsidRPr="00CE5519" w:rsidRDefault="001569C6"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19050</w:t>
            </w:r>
            <w:r w:rsidR="00725EBD" w:rsidRPr="00CE5519">
              <w:rPr>
                <w:sz w:val="18"/>
                <w:szCs w:val="18"/>
              </w:rPr>
              <w:t xml:space="preserve">– </w:t>
            </w:r>
            <w:r w:rsidRPr="00CE5519">
              <w:rPr>
                <w:sz w:val="18"/>
                <w:szCs w:val="18"/>
              </w:rPr>
              <w:t>19053</w:t>
            </w:r>
          </w:p>
        </w:tc>
      </w:tr>
      <w:tr w:rsidR="001569C6" w:rsidRPr="00CE5519" w14:paraId="5CC53922"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4FC355C8" w14:textId="63627E49" w:rsidR="001569C6" w:rsidRPr="00CE5519" w:rsidRDefault="001569C6" w:rsidP="00CE5519">
            <w:pPr>
              <w:numPr>
                <w:ilvl w:val="0"/>
                <w:numId w:val="0"/>
              </w:numPr>
              <w:ind w:left="360"/>
              <w:rPr>
                <w:b w:val="0"/>
                <w:bCs w:val="0"/>
                <w:sz w:val="18"/>
                <w:szCs w:val="18"/>
              </w:rPr>
            </w:pPr>
            <w:r w:rsidRPr="00CE5519">
              <w:rPr>
                <w:b w:val="0"/>
                <w:bCs w:val="0"/>
                <w:sz w:val="18"/>
                <w:szCs w:val="18"/>
              </w:rPr>
              <w:t>Colon/Rectal</w:t>
            </w:r>
          </w:p>
        </w:tc>
        <w:tc>
          <w:tcPr>
            <w:tcW w:w="3038" w:type="dxa"/>
            <w:vAlign w:val="center"/>
          </w:tcPr>
          <w:p w14:paraId="43792FD0" w14:textId="77777777" w:rsidR="004023AC" w:rsidRPr="00CE5519" w:rsidRDefault="004023A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FOLFOX</w:t>
            </w:r>
          </w:p>
          <w:p w14:paraId="1B2C170E" w14:textId="66DA32F1" w:rsidR="004023AC" w:rsidRPr="00CE5519" w:rsidRDefault="004023A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FOLFOX and cetuximab</w:t>
            </w:r>
          </w:p>
          <w:p w14:paraId="057D3B6C" w14:textId="185F2277" w:rsidR="004023AC" w:rsidRPr="00CE5519" w:rsidRDefault="004023A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FOLFOX and panitumumab</w:t>
            </w:r>
          </w:p>
          <w:p w14:paraId="305D4EB7" w14:textId="174A2D82" w:rsidR="004023AC" w:rsidRPr="00CE5519" w:rsidRDefault="004023A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CE5519">
              <w:rPr>
                <w:sz w:val="18"/>
                <w:szCs w:val="18"/>
              </w:rPr>
              <w:t>CapeOx</w:t>
            </w:r>
            <w:proofErr w:type="spellEnd"/>
            <w:r w:rsidRPr="00CE5519">
              <w:rPr>
                <w:sz w:val="18"/>
                <w:szCs w:val="18"/>
              </w:rPr>
              <w:t xml:space="preserve"> and bevacizumab</w:t>
            </w:r>
          </w:p>
          <w:p w14:paraId="06A189F7" w14:textId="77777777" w:rsidR="004023AC" w:rsidRPr="00CE5519" w:rsidRDefault="004023A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FOLFIRI</w:t>
            </w:r>
          </w:p>
          <w:p w14:paraId="7E368724" w14:textId="77777777" w:rsidR="004023AC" w:rsidRPr="00CE5519" w:rsidRDefault="004023A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FOLFOXIRI</w:t>
            </w:r>
          </w:p>
          <w:p w14:paraId="0CEB7C0C" w14:textId="2461D591" w:rsidR="004023AC" w:rsidRPr="00CE5519" w:rsidRDefault="004023A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lastRenderedPageBreak/>
              <w:t>FOLFOXIRI and bevacizumab</w:t>
            </w:r>
          </w:p>
          <w:p w14:paraId="41029786" w14:textId="0CA656DE" w:rsidR="004023AC" w:rsidRPr="00CE5519" w:rsidRDefault="004023A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FOLFOXIRI and panitumumab</w:t>
            </w:r>
          </w:p>
          <w:p w14:paraId="13BEB4FF" w14:textId="20882410" w:rsidR="004023AC" w:rsidRPr="00CE5519" w:rsidRDefault="004023A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FOLFOXIRI and cetuximab</w:t>
            </w:r>
          </w:p>
        </w:tc>
        <w:tc>
          <w:tcPr>
            <w:tcW w:w="4085" w:type="dxa"/>
            <w:vAlign w:val="center"/>
          </w:tcPr>
          <w:p w14:paraId="16325E3A" w14:textId="71588BB2"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lastRenderedPageBreak/>
              <w:t xml:space="preserve">For the indication of "Unresectable synchronous liver and/or lung metastases,” we assumed a </w:t>
            </w:r>
            <w:r w:rsidR="00725EBD" w:rsidRPr="00CE5519">
              <w:rPr>
                <w:sz w:val="18"/>
                <w:szCs w:val="18"/>
              </w:rPr>
              <w:t>6-month</w:t>
            </w:r>
            <w:r w:rsidRPr="00CE5519">
              <w:rPr>
                <w:sz w:val="18"/>
                <w:szCs w:val="18"/>
              </w:rPr>
              <w:t xml:space="preserve"> treatment period, based on input from clinical experts</w:t>
            </w:r>
          </w:p>
        </w:tc>
        <w:tc>
          <w:tcPr>
            <w:tcW w:w="4230" w:type="dxa"/>
            <w:vAlign w:val="center"/>
          </w:tcPr>
          <w:p w14:paraId="25558467" w14:textId="33E70587" w:rsidR="001569C6" w:rsidRPr="00CE5519" w:rsidRDefault="001569C6"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19033</w:t>
            </w:r>
            <w:r w:rsidR="00725EBD" w:rsidRPr="00CE5519">
              <w:rPr>
                <w:sz w:val="18"/>
                <w:szCs w:val="18"/>
              </w:rPr>
              <w:t xml:space="preserve">– </w:t>
            </w:r>
            <w:r w:rsidRPr="00CE5519">
              <w:rPr>
                <w:sz w:val="18"/>
                <w:szCs w:val="18"/>
              </w:rPr>
              <w:t>19041, 32050</w:t>
            </w:r>
            <w:r w:rsidR="00725EBD" w:rsidRPr="00CE5519">
              <w:rPr>
                <w:sz w:val="18"/>
                <w:szCs w:val="18"/>
              </w:rPr>
              <w:t xml:space="preserve">– </w:t>
            </w:r>
            <w:r w:rsidRPr="00CE5519">
              <w:rPr>
                <w:sz w:val="18"/>
                <w:szCs w:val="18"/>
              </w:rPr>
              <w:t>32058</w:t>
            </w:r>
          </w:p>
        </w:tc>
      </w:tr>
      <w:tr w:rsidR="001569C6" w:rsidRPr="00CE5519" w14:paraId="38B5FBDE"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76B05B31" w14:textId="0717D7A2" w:rsidR="001569C6" w:rsidRPr="00CE5519" w:rsidRDefault="001569C6" w:rsidP="00CE5519">
            <w:pPr>
              <w:numPr>
                <w:ilvl w:val="0"/>
                <w:numId w:val="0"/>
              </w:numPr>
              <w:ind w:left="360"/>
              <w:rPr>
                <w:b w:val="0"/>
                <w:bCs w:val="0"/>
                <w:sz w:val="18"/>
                <w:szCs w:val="18"/>
              </w:rPr>
            </w:pPr>
            <w:r w:rsidRPr="00CE5519">
              <w:rPr>
                <w:b w:val="0"/>
                <w:bCs w:val="0"/>
                <w:sz w:val="18"/>
                <w:szCs w:val="18"/>
              </w:rPr>
              <w:t>Gallbladder</w:t>
            </w:r>
          </w:p>
        </w:tc>
        <w:tc>
          <w:tcPr>
            <w:tcW w:w="3038" w:type="dxa"/>
            <w:vAlign w:val="center"/>
          </w:tcPr>
          <w:p w14:paraId="66A76B32" w14:textId="3C2B72DE" w:rsidR="001569C6" w:rsidRPr="00CE5519" w:rsidRDefault="00A62DA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5-Fluorouracil</w:t>
            </w:r>
          </w:p>
        </w:tc>
        <w:tc>
          <w:tcPr>
            <w:tcW w:w="4085" w:type="dxa"/>
            <w:vAlign w:val="center"/>
          </w:tcPr>
          <w:p w14:paraId="3FC85BDE" w14:textId="38B820DE"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dosing of 5-FU monotherapy, we based dosing on the following regimen with omission of the other drugs: https://www.ncbi.nlm.nih.gov/pubmed?term=15558814</w:t>
            </w:r>
          </w:p>
        </w:tc>
        <w:tc>
          <w:tcPr>
            <w:tcW w:w="4230" w:type="dxa"/>
            <w:vAlign w:val="center"/>
          </w:tcPr>
          <w:p w14:paraId="04793369" w14:textId="65E167E9" w:rsidR="001569C6" w:rsidRPr="00CE5519" w:rsidRDefault="00A62DA6"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24016, 24029, 24044, 24056</w:t>
            </w:r>
          </w:p>
        </w:tc>
      </w:tr>
      <w:tr w:rsidR="001569C6" w:rsidRPr="00CE5519" w14:paraId="49FC1565"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388C3A62" w14:textId="0AD1B546" w:rsidR="001569C6" w:rsidRPr="00CE5519" w:rsidRDefault="001569C6" w:rsidP="00CE5519">
            <w:pPr>
              <w:numPr>
                <w:ilvl w:val="0"/>
                <w:numId w:val="0"/>
              </w:numPr>
              <w:ind w:left="360"/>
              <w:rPr>
                <w:b w:val="0"/>
                <w:bCs w:val="0"/>
                <w:sz w:val="18"/>
                <w:szCs w:val="18"/>
              </w:rPr>
            </w:pPr>
            <w:r w:rsidRPr="00CE5519">
              <w:rPr>
                <w:b w:val="0"/>
                <w:bCs w:val="0"/>
                <w:sz w:val="18"/>
                <w:szCs w:val="18"/>
              </w:rPr>
              <w:t>Gallbladder</w:t>
            </w:r>
          </w:p>
        </w:tc>
        <w:tc>
          <w:tcPr>
            <w:tcW w:w="3038" w:type="dxa"/>
            <w:vAlign w:val="center"/>
          </w:tcPr>
          <w:p w14:paraId="76A8870F" w14:textId="77777777"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p>
        </w:tc>
        <w:tc>
          <w:tcPr>
            <w:tcW w:w="4085" w:type="dxa"/>
            <w:vAlign w:val="center"/>
          </w:tcPr>
          <w:p w14:paraId="3A5232E6" w14:textId="6B1275A1"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For dosing of oxaliplatin and CAP</w:t>
            </w:r>
            <w:r w:rsidR="004E066C" w:rsidRPr="00CE5519">
              <w:rPr>
                <w:sz w:val="18"/>
                <w:szCs w:val="18"/>
              </w:rPr>
              <w:t>E</w:t>
            </w:r>
            <w:r w:rsidRPr="00CE5519">
              <w:rPr>
                <w:sz w:val="18"/>
                <w:szCs w:val="18"/>
              </w:rPr>
              <w:t>OX, we inferred from biliary adenocarcinoma</w:t>
            </w:r>
          </w:p>
        </w:tc>
        <w:tc>
          <w:tcPr>
            <w:tcW w:w="4230" w:type="dxa"/>
            <w:vAlign w:val="center"/>
          </w:tcPr>
          <w:p w14:paraId="7E77837C" w14:textId="065CDDE4" w:rsidR="001569C6" w:rsidRPr="00CE5519" w:rsidRDefault="000E09FA"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r>
      <w:tr w:rsidR="001569C6" w:rsidRPr="00CE5519" w14:paraId="2B3EC467"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66CDAC84" w14:textId="42938578" w:rsidR="001569C6" w:rsidRPr="00CE5519" w:rsidRDefault="001569C6" w:rsidP="00CE5519">
            <w:pPr>
              <w:numPr>
                <w:ilvl w:val="0"/>
                <w:numId w:val="0"/>
              </w:numPr>
              <w:ind w:left="360"/>
              <w:rPr>
                <w:b w:val="0"/>
                <w:bCs w:val="0"/>
                <w:sz w:val="18"/>
                <w:szCs w:val="18"/>
              </w:rPr>
            </w:pPr>
            <w:r w:rsidRPr="00CE5519">
              <w:rPr>
                <w:b w:val="0"/>
                <w:bCs w:val="0"/>
                <w:sz w:val="18"/>
                <w:szCs w:val="18"/>
              </w:rPr>
              <w:t>Gallbladder</w:t>
            </w:r>
          </w:p>
        </w:tc>
        <w:tc>
          <w:tcPr>
            <w:tcW w:w="3038" w:type="dxa"/>
            <w:vAlign w:val="center"/>
          </w:tcPr>
          <w:p w14:paraId="7B602236" w14:textId="11BCE4FB" w:rsidR="001569C6" w:rsidRPr="00CE5519" w:rsidRDefault="00AF0EA1"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c>
          <w:tcPr>
            <w:tcW w:w="4085" w:type="dxa"/>
            <w:vAlign w:val="center"/>
          </w:tcPr>
          <w:p w14:paraId="320D5ECA" w14:textId="3074131A"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unresectable disease, we inferred dosing of 5-FU + RT from the post-surgery indication</w:t>
            </w:r>
          </w:p>
        </w:tc>
        <w:tc>
          <w:tcPr>
            <w:tcW w:w="4230" w:type="dxa"/>
            <w:vAlign w:val="center"/>
          </w:tcPr>
          <w:p w14:paraId="45FA37E2" w14:textId="33B9317F" w:rsidR="001569C6" w:rsidRPr="00CE5519" w:rsidRDefault="000E09FA"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r>
      <w:tr w:rsidR="001569C6" w:rsidRPr="00CE5519" w14:paraId="27B17F52"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22015B18" w14:textId="700DA35C" w:rsidR="001569C6" w:rsidRPr="00CE5519" w:rsidRDefault="001569C6" w:rsidP="00CE5519">
            <w:pPr>
              <w:numPr>
                <w:ilvl w:val="0"/>
                <w:numId w:val="0"/>
              </w:numPr>
              <w:ind w:left="360"/>
              <w:rPr>
                <w:b w:val="0"/>
                <w:bCs w:val="0"/>
                <w:sz w:val="18"/>
                <w:szCs w:val="18"/>
              </w:rPr>
            </w:pPr>
            <w:r w:rsidRPr="00CE5519">
              <w:rPr>
                <w:b w:val="0"/>
                <w:bCs w:val="0"/>
                <w:sz w:val="18"/>
                <w:szCs w:val="18"/>
              </w:rPr>
              <w:t>Gastric</w:t>
            </w:r>
          </w:p>
        </w:tc>
        <w:tc>
          <w:tcPr>
            <w:tcW w:w="3038" w:type="dxa"/>
            <w:vAlign w:val="center"/>
          </w:tcPr>
          <w:p w14:paraId="2910599F" w14:textId="16A932E6" w:rsidR="001569C6" w:rsidRPr="00CE5519" w:rsidRDefault="00AF0EA1"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c>
          <w:tcPr>
            <w:tcW w:w="4085" w:type="dxa"/>
            <w:vAlign w:val="center"/>
          </w:tcPr>
          <w:p w14:paraId="734B018D" w14:textId="5640F53C"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For perioperative chemotherapy, we assumed 3 cycles before and 3 cycles after surgery, unless otherwise specified for particular treatment regimens</w:t>
            </w:r>
          </w:p>
        </w:tc>
        <w:tc>
          <w:tcPr>
            <w:tcW w:w="4230" w:type="dxa"/>
            <w:vAlign w:val="center"/>
          </w:tcPr>
          <w:p w14:paraId="1F87616E" w14:textId="62AC9B6B" w:rsidR="001569C6" w:rsidRPr="00CE5519" w:rsidRDefault="000E09FA"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r>
      <w:tr w:rsidR="001569C6" w:rsidRPr="00CE5519" w14:paraId="5109751D"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5F6E35C5" w14:textId="150CDF88" w:rsidR="001569C6" w:rsidRPr="00CE5519" w:rsidRDefault="001569C6" w:rsidP="00CE5519">
            <w:pPr>
              <w:numPr>
                <w:ilvl w:val="0"/>
                <w:numId w:val="0"/>
              </w:numPr>
              <w:ind w:left="360"/>
              <w:rPr>
                <w:b w:val="0"/>
                <w:bCs w:val="0"/>
                <w:sz w:val="18"/>
                <w:szCs w:val="18"/>
              </w:rPr>
            </w:pPr>
            <w:r w:rsidRPr="00CE5519">
              <w:rPr>
                <w:b w:val="0"/>
                <w:bCs w:val="0"/>
                <w:sz w:val="18"/>
                <w:szCs w:val="18"/>
              </w:rPr>
              <w:t>Head &amp; Neck</w:t>
            </w:r>
          </w:p>
        </w:tc>
        <w:tc>
          <w:tcPr>
            <w:tcW w:w="3038" w:type="dxa"/>
            <w:vAlign w:val="center"/>
          </w:tcPr>
          <w:p w14:paraId="7578F7B3" w14:textId="3FC934A6" w:rsidR="004023AC" w:rsidRPr="00CE5519" w:rsidRDefault="004023AC"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Induction cisplatin, </w:t>
            </w:r>
            <w:proofErr w:type="spellStart"/>
            <w:r w:rsidRPr="00CE5519">
              <w:rPr>
                <w:sz w:val="18"/>
                <w:szCs w:val="18"/>
              </w:rPr>
              <w:t>epirubicin</w:t>
            </w:r>
            <w:proofErr w:type="spellEnd"/>
            <w:r w:rsidRPr="00CE5519">
              <w:rPr>
                <w:sz w:val="18"/>
                <w:szCs w:val="18"/>
              </w:rPr>
              <w:t>, and paclitaxel followed by weekly cisplatin with concurrent RT</w:t>
            </w:r>
          </w:p>
          <w:p w14:paraId="616A4AF2" w14:textId="77777777" w:rsidR="004023AC" w:rsidRPr="00CE5519" w:rsidRDefault="004023AC"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p>
          <w:p w14:paraId="22119D43" w14:textId="40807BB1" w:rsidR="001569C6" w:rsidRPr="00CE5519" w:rsidRDefault="004023AC"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Induction cisplatin, </w:t>
            </w:r>
            <w:proofErr w:type="spellStart"/>
            <w:r w:rsidRPr="00CE5519">
              <w:rPr>
                <w:sz w:val="18"/>
                <w:szCs w:val="18"/>
              </w:rPr>
              <w:t>epirubicin</w:t>
            </w:r>
            <w:proofErr w:type="spellEnd"/>
            <w:r w:rsidRPr="00CE5519">
              <w:rPr>
                <w:sz w:val="18"/>
                <w:szCs w:val="18"/>
              </w:rPr>
              <w:t>, and paclitaxel followed by weekly carboplatin with concurrent RT</w:t>
            </w:r>
          </w:p>
        </w:tc>
        <w:tc>
          <w:tcPr>
            <w:tcW w:w="4085" w:type="dxa"/>
            <w:vAlign w:val="center"/>
          </w:tcPr>
          <w:p w14:paraId="18CACCE3" w14:textId="29E82AFE"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induction portion, used dosing from this trial (https://www.ncbi.nlm.nih.gov/pubmed/15827691) and extracted weekly dosing + RT based on similar regimens</w:t>
            </w:r>
          </w:p>
        </w:tc>
        <w:tc>
          <w:tcPr>
            <w:tcW w:w="4230" w:type="dxa"/>
            <w:vAlign w:val="center"/>
          </w:tcPr>
          <w:p w14:paraId="3722E720" w14:textId="4AC609CC" w:rsidR="001569C6" w:rsidRPr="00CE5519" w:rsidRDefault="001569C6"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23058, 23059</w:t>
            </w:r>
          </w:p>
        </w:tc>
      </w:tr>
      <w:tr w:rsidR="001569C6" w:rsidRPr="00CE5519" w14:paraId="1762B253"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72DEC61A" w14:textId="2A72A171" w:rsidR="001569C6" w:rsidRPr="00CE5519" w:rsidRDefault="001569C6" w:rsidP="00CE5519">
            <w:pPr>
              <w:numPr>
                <w:ilvl w:val="0"/>
                <w:numId w:val="0"/>
              </w:numPr>
              <w:ind w:left="360"/>
              <w:rPr>
                <w:b w:val="0"/>
                <w:bCs w:val="0"/>
                <w:sz w:val="18"/>
                <w:szCs w:val="18"/>
              </w:rPr>
            </w:pPr>
            <w:r w:rsidRPr="00CE5519">
              <w:rPr>
                <w:b w:val="0"/>
                <w:bCs w:val="0"/>
                <w:sz w:val="18"/>
                <w:szCs w:val="18"/>
              </w:rPr>
              <w:t>Head &amp; Neck</w:t>
            </w:r>
          </w:p>
        </w:tc>
        <w:tc>
          <w:tcPr>
            <w:tcW w:w="3038" w:type="dxa"/>
            <w:vAlign w:val="center"/>
          </w:tcPr>
          <w:p w14:paraId="6762DB37" w14:textId="0B83AFA3" w:rsidR="001569C6" w:rsidRPr="00CE5519" w:rsidRDefault="00E966AB"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c>
          <w:tcPr>
            <w:tcW w:w="4085" w:type="dxa"/>
            <w:vAlign w:val="center"/>
          </w:tcPr>
          <w:p w14:paraId="5680ABEA" w14:textId="0AA826B9"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For treatment regimens with induction chemotherapy, we assumed the dosing for weekly </w:t>
            </w:r>
            <w:proofErr w:type="spellStart"/>
            <w:r w:rsidRPr="00CE5519">
              <w:rPr>
                <w:sz w:val="18"/>
                <w:szCs w:val="18"/>
              </w:rPr>
              <w:t>cisplatin+RT</w:t>
            </w:r>
            <w:proofErr w:type="spellEnd"/>
            <w:r w:rsidRPr="00CE5519">
              <w:rPr>
                <w:sz w:val="18"/>
                <w:szCs w:val="18"/>
              </w:rPr>
              <w:t xml:space="preserve"> would be the same as for regimens without induction chemo</w:t>
            </w:r>
          </w:p>
        </w:tc>
        <w:tc>
          <w:tcPr>
            <w:tcW w:w="4230" w:type="dxa"/>
            <w:vAlign w:val="center"/>
          </w:tcPr>
          <w:p w14:paraId="21500F2B" w14:textId="12D34040" w:rsidR="001569C6" w:rsidRPr="00CE5519" w:rsidRDefault="000E09FA"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r>
      <w:tr w:rsidR="001569C6" w:rsidRPr="00CE5519" w14:paraId="21229968"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405FDB7D" w14:textId="6FE2434C" w:rsidR="001569C6" w:rsidRPr="00CE5519" w:rsidRDefault="001569C6" w:rsidP="00CE5519">
            <w:pPr>
              <w:numPr>
                <w:ilvl w:val="0"/>
                <w:numId w:val="0"/>
              </w:numPr>
              <w:ind w:left="360"/>
              <w:rPr>
                <w:b w:val="0"/>
                <w:bCs w:val="0"/>
                <w:sz w:val="18"/>
                <w:szCs w:val="18"/>
              </w:rPr>
            </w:pPr>
            <w:r w:rsidRPr="00CE5519">
              <w:rPr>
                <w:b w:val="0"/>
                <w:bCs w:val="0"/>
                <w:sz w:val="18"/>
                <w:szCs w:val="18"/>
              </w:rPr>
              <w:t>Head &amp; Neck</w:t>
            </w:r>
          </w:p>
        </w:tc>
        <w:tc>
          <w:tcPr>
            <w:tcW w:w="3038" w:type="dxa"/>
            <w:vAlign w:val="center"/>
          </w:tcPr>
          <w:p w14:paraId="3874333C" w14:textId="7B5898A2" w:rsidR="001569C6" w:rsidRPr="00CE5519" w:rsidRDefault="00E12301"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Carboplatin monotherapy</w:t>
            </w:r>
          </w:p>
        </w:tc>
        <w:tc>
          <w:tcPr>
            <w:tcW w:w="4085" w:type="dxa"/>
            <w:vAlign w:val="center"/>
          </w:tcPr>
          <w:p w14:paraId="5CDE630E" w14:textId="563CAE5F"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We excluded carboplatin monotherapy because we were unable to access the text of the citation supporting this regimen and could not identify any other supportive studies.</w:t>
            </w:r>
          </w:p>
        </w:tc>
        <w:tc>
          <w:tcPr>
            <w:tcW w:w="4230" w:type="dxa"/>
            <w:vAlign w:val="center"/>
          </w:tcPr>
          <w:p w14:paraId="5A8AFD41" w14:textId="4D548BB3" w:rsidR="001569C6" w:rsidRPr="00CE5519" w:rsidRDefault="000E09FA"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r>
      <w:tr w:rsidR="001569C6" w:rsidRPr="00CE5519" w14:paraId="507F183D"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4763E8BF" w14:textId="70FA64C6" w:rsidR="001569C6" w:rsidRPr="00CE5519" w:rsidRDefault="001569C6" w:rsidP="00CE5519">
            <w:pPr>
              <w:numPr>
                <w:ilvl w:val="0"/>
                <w:numId w:val="0"/>
              </w:numPr>
              <w:ind w:left="360"/>
              <w:rPr>
                <w:b w:val="0"/>
                <w:bCs w:val="0"/>
                <w:sz w:val="18"/>
                <w:szCs w:val="18"/>
              </w:rPr>
            </w:pPr>
            <w:r w:rsidRPr="00CE5519">
              <w:rPr>
                <w:b w:val="0"/>
                <w:bCs w:val="0"/>
                <w:sz w:val="18"/>
                <w:szCs w:val="18"/>
              </w:rPr>
              <w:t>Head &amp; Neck</w:t>
            </w:r>
          </w:p>
        </w:tc>
        <w:tc>
          <w:tcPr>
            <w:tcW w:w="3038" w:type="dxa"/>
            <w:vAlign w:val="center"/>
          </w:tcPr>
          <w:p w14:paraId="0FD86F1B" w14:textId="77777777" w:rsidR="001569C6" w:rsidRPr="00CE5519" w:rsidRDefault="001B630F"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Carboplatin, paclitaxel, and cetuximab</w:t>
            </w:r>
          </w:p>
          <w:p w14:paraId="5EE4C98B" w14:textId="067E7212" w:rsidR="001B630F" w:rsidRPr="00CE5519" w:rsidRDefault="001B630F"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Cisplatin, paclitaxel, and cetuximab</w:t>
            </w:r>
          </w:p>
        </w:tc>
        <w:tc>
          <w:tcPr>
            <w:tcW w:w="4085" w:type="dxa"/>
            <w:vAlign w:val="center"/>
          </w:tcPr>
          <w:p w14:paraId="0A14B164" w14:textId="5DAA44FA"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For the treatment regimens carboplatin/paclitaxel/cetuximab and cisplatin/paclitaxel/cetuximab, direct citations were not </w:t>
            </w:r>
            <w:r w:rsidR="00725EBD" w:rsidRPr="00CE5519">
              <w:rPr>
                <w:sz w:val="18"/>
                <w:szCs w:val="18"/>
              </w:rPr>
              <w:t>available,</w:t>
            </w:r>
            <w:r w:rsidRPr="00CE5519">
              <w:rPr>
                <w:sz w:val="18"/>
                <w:szCs w:val="18"/>
              </w:rPr>
              <w:t xml:space="preserve"> so we inferred drug dosing from similar regimens.</w:t>
            </w:r>
          </w:p>
        </w:tc>
        <w:tc>
          <w:tcPr>
            <w:tcW w:w="4230" w:type="dxa"/>
            <w:vAlign w:val="center"/>
          </w:tcPr>
          <w:p w14:paraId="56E5FF47" w14:textId="7DCF1160" w:rsidR="001569C6" w:rsidRPr="00CE5519" w:rsidRDefault="001B630F"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23073, 23079</w:t>
            </w:r>
          </w:p>
        </w:tc>
      </w:tr>
      <w:tr w:rsidR="001569C6" w:rsidRPr="00CE5519" w14:paraId="6262DD75"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36D1C702" w14:textId="7B89C9E4" w:rsidR="001569C6" w:rsidRPr="00CE5519" w:rsidRDefault="001569C6" w:rsidP="00CE5519">
            <w:pPr>
              <w:numPr>
                <w:ilvl w:val="0"/>
                <w:numId w:val="0"/>
              </w:numPr>
              <w:ind w:left="360"/>
              <w:rPr>
                <w:b w:val="0"/>
                <w:bCs w:val="0"/>
                <w:sz w:val="18"/>
                <w:szCs w:val="18"/>
              </w:rPr>
            </w:pPr>
            <w:r w:rsidRPr="00CE5519">
              <w:rPr>
                <w:b w:val="0"/>
                <w:bCs w:val="0"/>
                <w:sz w:val="18"/>
                <w:szCs w:val="18"/>
              </w:rPr>
              <w:t>Head &amp; Neck</w:t>
            </w:r>
          </w:p>
        </w:tc>
        <w:tc>
          <w:tcPr>
            <w:tcW w:w="3038" w:type="dxa"/>
            <w:vAlign w:val="center"/>
          </w:tcPr>
          <w:p w14:paraId="28CC7251" w14:textId="111B187A" w:rsidR="001569C6" w:rsidRPr="00CE5519" w:rsidRDefault="001B630F"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Cisplatin and paclitaxel</w:t>
            </w:r>
          </w:p>
        </w:tc>
        <w:tc>
          <w:tcPr>
            <w:tcW w:w="4085" w:type="dxa"/>
            <w:vAlign w:val="center"/>
          </w:tcPr>
          <w:p w14:paraId="464A580E" w14:textId="70132B75"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the treatment regimen cisplatin/paclitaxel, we inferred dosing by applying the same paclitaxel dosing schedule as specified for carboplatin/paclitaxel, and inputting a common cisplatin dosing schedule</w:t>
            </w:r>
          </w:p>
        </w:tc>
        <w:tc>
          <w:tcPr>
            <w:tcW w:w="4230" w:type="dxa"/>
            <w:vAlign w:val="center"/>
          </w:tcPr>
          <w:p w14:paraId="2D20E7A1" w14:textId="5427FE4D" w:rsidR="001569C6" w:rsidRPr="00CE5519" w:rsidRDefault="001B630F"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23078</w:t>
            </w:r>
          </w:p>
        </w:tc>
      </w:tr>
      <w:tr w:rsidR="0003527D" w:rsidRPr="00CE5519" w14:paraId="39C390C1"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07E6D922" w14:textId="63FC5D6E" w:rsidR="0003527D" w:rsidRPr="00CE5519" w:rsidRDefault="0003527D" w:rsidP="00CE5519">
            <w:pPr>
              <w:numPr>
                <w:ilvl w:val="0"/>
                <w:numId w:val="0"/>
              </w:numPr>
              <w:ind w:left="360"/>
              <w:rPr>
                <w:b w:val="0"/>
                <w:bCs w:val="0"/>
                <w:sz w:val="18"/>
                <w:szCs w:val="18"/>
              </w:rPr>
            </w:pPr>
            <w:r w:rsidRPr="00CE5519">
              <w:rPr>
                <w:b w:val="0"/>
                <w:bCs w:val="0"/>
                <w:sz w:val="18"/>
                <w:szCs w:val="18"/>
              </w:rPr>
              <w:t>Head &amp; Neck</w:t>
            </w:r>
          </w:p>
        </w:tc>
        <w:tc>
          <w:tcPr>
            <w:tcW w:w="3038" w:type="dxa"/>
            <w:vAlign w:val="center"/>
          </w:tcPr>
          <w:p w14:paraId="3E24A134" w14:textId="31FE6E8A" w:rsidR="0003527D" w:rsidRPr="00CE5519" w:rsidRDefault="0003527D"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Induction docetaxel + cisplatin + 5-FU followed by weekly carboplatin with concurrent RT</w:t>
            </w:r>
            <w:r w:rsidRPr="00CE5519">
              <w:rPr>
                <w:sz w:val="18"/>
                <w:szCs w:val="18"/>
              </w:rPr>
              <w:br/>
            </w:r>
            <w:r w:rsidRPr="00CE5519">
              <w:rPr>
                <w:sz w:val="18"/>
                <w:szCs w:val="18"/>
              </w:rPr>
              <w:br/>
            </w:r>
            <w:r w:rsidRPr="00CE5519">
              <w:rPr>
                <w:sz w:val="18"/>
                <w:szCs w:val="18"/>
              </w:rPr>
              <w:lastRenderedPageBreak/>
              <w:t>Induction docetaxel + cisplatin followed by weekly carboplatin with concurrent RT</w:t>
            </w:r>
            <w:r w:rsidRPr="00CE5519">
              <w:rPr>
                <w:sz w:val="18"/>
                <w:szCs w:val="18"/>
              </w:rPr>
              <w:br/>
            </w:r>
            <w:r w:rsidRPr="00CE5519">
              <w:rPr>
                <w:sz w:val="18"/>
                <w:szCs w:val="18"/>
              </w:rPr>
              <w:br/>
              <w:t xml:space="preserve">Induction cisplatin + </w:t>
            </w:r>
            <w:proofErr w:type="spellStart"/>
            <w:r w:rsidRPr="00CE5519">
              <w:rPr>
                <w:sz w:val="18"/>
                <w:szCs w:val="18"/>
              </w:rPr>
              <w:t>epirubicin</w:t>
            </w:r>
            <w:proofErr w:type="spellEnd"/>
            <w:r w:rsidRPr="00CE5519">
              <w:rPr>
                <w:sz w:val="18"/>
                <w:szCs w:val="18"/>
              </w:rPr>
              <w:t xml:space="preserve"> + paclitaxel followed by weekly carboplatin with concurrent RT</w:t>
            </w:r>
          </w:p>
        </w:tc>
        <w:tc>
          <w:tcPr>
            <w:tcW w:w="4085" w:type="dxa"/>
            <w:vAlign w:val="center"/>
          </w:tcPr>
          <w:p w14:paraId="1E49160B" w14:textId="1C157E39" w:rsidR="0003527D" w:rsidRPr="00CE5519" w:rsidRDefault="002C4892"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lastRenderedPageBreak/>
              <w:t>For the weekly carboplatin dosing, we converted the carboplatin dose of 100mg/m2 to AUC using the Calvert formula. We assumed standard body sizes and an average eGFR of 70 in the Medicare-aged adult population on the basis of studies such as: https://www.kidney-international.org/article/S0085-2538%2815%2952697-5/fulltext</w:t>
            </w:r>
          </w:p>
        </w:tc>
        <w:tc>
          <w:tcPr>
            <w:tcW w:w="4230" w:type="dxa"/>
            <w:vAlign w:val="center"/>
          </w:tcPr>
          <w:p w14:paraId="74DF68C7" w14:textId="44211C59" w:rsidR="0003527D" w:rsidRPr="00CE5519" w:rsidRDefault="0003527D"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23051, 23053, 23055, 23059</w:t>
            </w:r>
          </w:p>
        </w:tc>
      </w:tr>
      <w:tr w:rsidR="00CF1244" w:rsidRPr="00CE5519" w14:paraId="31DF2E81"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4FA192C7" w14:textId="0C2ECF5F" w:rsidR="00CF1244" w:rsidRPr="00CE5519" w:rsidRDefault="00CF1244" w:rsidP="00CE5519">
            <w:pPr>
              <w:numPr>
                <w:ilvl w:val="0"/>
                <w:numId w:val="0"/>
              </w:numPr>
              <w:ind w:left="360"/>
              <w:rPr>
                <w:b w:val="0"/>
                <w:bCs w:val="0"/>
                <w:sz w:val="18"/>
                <w:szCs w:val="18"/>
              </w:rPr>
            </w:pPr>
            <w:r w:rsidRPr="00CE5519">
              <w:rPr>
                <w:b w:val="0"/>
                <w:bCs w:val="0"/>
                <w:sz w:val="18"/>
                <w:szCs w:val="18"/>
              </w:rPr>
              <w:t>Head &amp; Neck</w:t>
            </w:r>
          </w:p>
        </w:tc>
        <w:tc>
          <w:tcPr>
            <w:tcW w:w="3038" w:type="dxa"/>
            <w:vAlign w:val="center"/>
          </w:tcPr>
          <w:p w14:paraId="609787DD" w14:textId="77777777" w:rsidR="00CF1244" w:rsidRPr="00CE5519" w:rsidRDefault="00CF1244"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p>
          <w:p w14:paraId="22C496AA" w14:textId="596A5DA6" w:rsidR="00CF1244" w:rsidRPr="00CE5519" w:rsidRDefault="00CF1244"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Carboplatin + </w:t>
            </w:r>
            <w:proofErr w:type="spellStart"/>
            <w:r w:rsidRPr="00CE5519">
              <w:rPr>
                <w:sz w:val="18"/>
                <w:szCs w:val="18"/>
              </w:rPr>
              <w:t>infusional</w:t>
            </w:r>
            <w:proofErr w:type="spellEnd"/>
            <w:r w:rsidRPr="00CE5519">
              <w:rPr>
                <w:sz w:val="18"/>
                <w:szCs w:val="18"/>
              </w:rPr>
              <w:t xml:space="preserve"> 5-FU + RT</w:t>
            </w:r>
          </w:p>
          <w:p w14:paraId="0488B1CA" w14:textId="49F072BA" w:rsidR="00CF1244" w:rsidRPr="00CE5519" w:rsidRDefault="00CF1244"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p>
        </w:tc>
        <w:tc>
          <w:tcPr>
            <w:tcW w:w="4085" w:type="dxa"/>
            <w:vAlign w:val="center"/>
          </w:tcPr>
          <w:p w14:paraId="0B194F87" w14:textId="23E61C35" w:rsidR="00CF1244" w:rsidRPr="00CE5519" w:rsidRDefault="00CF1244"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the carboplatin dosing, we used the Calvert formula to convert the 70 mg/m2 dose to AUC. We assumed standard body sizes and an eGFR of 72.25.</w:t>
            </w:r>
          </w:p>
        </w:tc>
        <w:tc>
          <w:tcPr>
            <w:tcW w:w="4230" w:type="dxa"/>
            <w:vAlign w:val="center"/>
          </w:tcPr>
          <w:p w14:paraId="650CA9E9" w14:textId="1626FAB6" w:rsidR="00CF1244" w:rsidRPr="00CE5519" w:rsidRDefault="00CF1244"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23002, 23020, 23038</w:t>
            </w:r>
          </w:p>
        </w:tc>
      </w:tr>
      <w:tr w:rsidR="00CF1244" w:rsidRPr="00CE5519" w14:paraId="7BC81AF4"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05A86A8D" w14:textId="1512017F" w:rsidR="00CF1244" w:rsidRPr="00CE5519" w:rsidRDefault="00CF1244" w:rsidP="00CE5519">
            <w:pPr>
              <w:numPr>
                <w:ilvl w:val="0"/>
                <w:numId w:val="0"/>
              </w:numPr>
              <w:ind w:left="360"/>
              <w:rPr>
                <w:b w:val="0"/>
                <w:bCs w:val="0"/>
                <w:sz w:val="18"/>
                <w:szCs w:val="18"/>
              </w:rPr>
            </w:pPr>
            <w:r w:rsidRPr="00CE5519">
              <w:rPr>
                <w:b w:val="0"/>
                <w:bCs w:val="0"/>
                <w:sz w:val="18"/>
                <w:szCs w:val="18"/>
              </w:rPr>
              <w:t>Head &amp; Neck</w:t>
            </w:r>
          </w:p>
        </w:tc>
        <w:tc>
          <w:tcPr>
            <w:tcW w:w="3038" w:type="dxa"/>
            <w:vAlign w:val="center"/>
          </w:tcPr>
          <w:p w14:paraId="3F92D117" w14:textId="77777777" w:rsidR="00CF1244" w:rsidRPr="00CE5519" w:rsidRDefault="00CF1244"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Induction docetaxel + cisplatin + 5-FU followed by carboplatin + RT</w:t>
            </w:r>
          </w:p>
          <w:p w14:paraId="167F5FFF" w14:textId="77777777" w:rsidR="00CF1244" w:rsidRPr="00CE5519" w:rsidRDefault="00CF1244"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p>
          <w:p w14:paraId="0AD19DB2" w14:textId="77777777" w:rsidR="00CF1244" w:rsidRPr="00CE5519" w:rsidRDefault="00CF1244"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Induction paclitaxel + cisplatin + </w:t>
            </w:r>
            <w:proofErr w:type="spellStart"/>
            <w:r w:rsidRPr="00CE5519">
              <w:rPr>
                <w:sz w:val="18"/>
                <w:szCs w:val="18"/>
              </w:rPr>
              <w:t>infusional</w:t>
            </w:r>
            <w:proofErr w:type="spellEnd"/>
            <w:r w:rsidRPr="00CE5519">
              <w:rPr>
                <w:sz w:val="18"/>
                <w:szCs w:val="18"/>
              </w:rPr>
              <w:t xml:space="preserve"> 5-FU followed by carboplatin + RT</w:t>
            </w:r>
          </w:p>
          <w:p w14:paraId="348A6B54" w14:textId="77777777" w:rsidR="00CF1244" w:rsidRPr="00CE5519" w:rsidRDefault="00CF1244"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p>
          <w:p w14:paraId="290C52F4" w14:textId="0CCD78F4" w:rsidR="00CF1244" w:rsidRPr="00CE5519" w:rsidRDefault="00CF1244"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Carboplatin + paclitaxel + RT</w:t>
            </w:r>
          </w:p>
        </w:tc>
        <w:tc>
          <w:tcPr>
            <w:tcW w:w="4085" w:type="dxa"/>
            <w:vAlign w:val="center"/>
          </w:tcPr>
          <w:p w14:paraId="58D7292A" w14:textId="09F2912D" w:rsidR="00CF1244" w:rsidRPr="00CE5519" w:rsidRDefault="00CF1244"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For the carboplatin dosing, we used the Calver formula to convert the 100 mg/m2 dose to AUC. We assumed standard body sizes and an eGFR of 72.25.</w:t>
            </w:r>
          </w:p>
        </w:tc>
        <w:tc>
          <w:tcPr>
            <w:tcW w:w="4230" w:type="dxa"/>
            <w:vAlign w:val="center"/>
          </w:tcPr>
          <w:p w14:paraId="515317E2" w14:textId="5618A818" w:rsidR="00CF1244" w:rsidRPr="00CE5519" w:rsidRDefault="00CF1244"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23003, 23011, 23016, 23021, 23039</w:t>
            </w:r>
          </w:p>
        </w:tc>
      </w:tr>
      <w:tr w:rsidR="001569C6" w:rsidRPr="00CE5519" w14:paraId="147A8299"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05D6C6C5" w14:textId="2A771C9E" w:rsidR="001569C6" w:rsidRPr="00CE5519" w:rsidRDefault="001569C6" w:rsidP="00CE5519">
            <w:pPr>
              <w:numPr>
                <w:ilvl w:val="0"/>
                <w:numId w:val="0"/>
              </w:numPr>
              <w:ind w:left="360"/>
              <w:rPr>
                <w:b w:val="0"/>
                <w:bCs w:val="0"/>
                <w:sz w:val="18"/>
                <w:szCs w:val="18"/>
              </w:rPr>
            </w:pPr>
            <w:r w:rsidRPr="00CE5519">
              <w:rPr>
                <w:b w:val="0"/>
                <w:bCs w:val="0"/>
                <w:sz w:val="18"/>
                <w:szCs w:val="18"/>
              </w:rPr>
              <w:t>Hodgkin Lymphoma</w:t>
            </w:r>
          </w:p>
        </w:tc>
        <w:tc>
          <w:tcPr>
            <w:tcW w:w="3038" w:type="dxa"/>
            <w:vAlign w:val="center"/>
          </w:tcPr>
          <w:p w14:paraId="568B0D1E" w14:textId="1741FD92" w:rsidR="004023AC" w:rsidRPr="00CE5519" w:rsidRDefault="004023AC"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ABVD x4 and RT</w:t>
            </w:r>
          </w:p>
          <w:p w14:paraId="2F8312F0" w14:textId="77777777" w:rsidR="004023AC" w:rsidRPr="00CE5519" w:rsidRDefault="004023AC"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ABVD x2, AVD x4</w:t>
            </w:r>
          </w:p>
          <w:p w14:paraId="527A4F43" w14:textId="0C762D31" w:rsidR="004023AC" w:rsidRPr="00CE5519" w:rsidRDefault="004023AC"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ABVD x2, AVD x4 and RT</w:t>
            </w:r>
          </w:p>
          <w:p w14:paraId="393FA185" w14:textId="4DA32DDA" w:rsidR="004023AC" w:rsidRPr="00CE5519" w:rsidRDefault="004023AC"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ABVD x4 and RT</w:t>
            </w:r>
          </w:p>
          <w:p w14:paraId="59243F89" w14:textId="1BFA483A" w:rsidR="004023AC" w:rsidRPr="00CE5519" w:rsidRDefault="004023AC"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ABVD x2, BEACOPP x2 and RT</w:t>
            </w:r>
          </w:p>
          <w:p w14:paraId="5EA64AE7" w14:textId="77777777" w:rsidR="004023AC" w:rsidRPr="00CE5519" w:rsidRDefault="004023AC"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ABVD x2, BEACOPP x4</w:t>
            </w:r>
          </w:p>
          <w:p w14:paraId="1B94314F" w14:textId="69884BF2" w:rsidR="001569C6" w:rsidRPr="00CE5519" w:rsidRDefault="004023AC"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ABVD x2, escalated BEACOPP x2</w:t>
            </w:r>
            <w:r w:rsidR="009369D7" w:rsidRPr="00CE5519">
              <w:rPr>
                <w:sz w:val="18"/>
                <w:szCs w:val="18"/>
              </w:rPr>
              <w:t>,</w:t>
            </w:r>
            <w:r w:rsidRPr="00CE5519">
              <w:rPr>
                <w:sz w:val="18"/>
                <w:szCs w:val="18"/>
              </w:rPr>
              <w:t xml:space="preserve"> and ISRT</w:t>
            </w:r>
          </w:p>
        </w:tc>
        <w:tc>
          <w:tcPr>
            <w:tcW w:w="4085" w:type="dxa"/>
            <w:vAlign w:val="center"/>
          </w:tcPr>
          <w:p w14:paraId="1F3470F4" w14:textId="3691AFA4"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Stage I-II unfavorable BULKY classical (planned combined modality therapy) In response to a NCCN Guidelines, reorganization, we assumed that the regimen “ABVD X2 + BEACOPP X2 + ISRT (Deauville 3-4 and 5, biopsy negative; preferred Deauville 4)” present in the Jan 2019 version was equivalent to same regimen described as “Deauville 4-5, biopsy negative” in July 2019. We maintained the same unique ID for these, and created a new ID for “Deauville 5”</w:t>
            </w:r>
          </w:p>
        </w:tc>
        <w:tc>
          <w:tcPr>
            <w:tcW w:w="4230" w:type="dxa"/>
            <w:vAlign w:val="center"/>
          </w:tcPr>
          <w:p w14:paraId="39DDFE88" w14:textId="7D2A3A9D" w:rsidR="001569C6" w:rsidRPr="00CE5519" w:rsidRDefault="001569C6"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25016</w:t>
            </w:r>
            <w:r w:rsidR="00725EBD" w:rsidRPr="00CE5519">
              <w:rPr>
                <w:sz w:val="18"/>
                <w:szCs w:val="18"/>
              </w:rPr>
              <w:t xml:space="preserve">– </w:t>
            </w:r>
            <w:r w:rsidRPr="00CE5519">
              <w:rPr>
                <w:sz w:val="18"/>
                <w:szCs w:val="18"/>
              </w:rPr>
              <w:t>25022</w:t>
            </w:r>
          </w:p>
        </w:tc>
      </w:tr>
      <w:tr w:rsidR="001569C6" w:rsidRPr="00CE5519" w14:paraId="38B294A5"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3AF0DD3B" w14:textId="7DDD7603" w:rsidR="001569C6" w:rsidRPr="00CE5519" w:rsidRDefault="001569C6" w:rsidP="00CE5519">
            <w:pPr>
              <w:numPr>
                <w:ilvl w:val="0"/>
                <w:numId w:val="0"/>
              </w:numPr>
              <w:ind w:left="360"/>
              <w:rPr>
                <w:b w:val="0"/>
                <w:bCs w:val="0"/>
                <w:sz w:val="18"/>
                <w:szCs w:val="18"/>
              </w:rPr>
            </w:pPr>
            <w:r w:rsidRPr="00CE5519">
              <w:rPr>
                <w:b w:val="0"/>
                <w:bCs w:val="0"/>
                <w:sz w:val="18"/>
                <w:szCs w:val="18"/>
              </w:rPr>
              <w:t>Hodgkin Lymphoma</w:t>
            </w:r>
          </w:p>
        </w:tc>
        <w:tc>
          <w:tcPr>
            <w:tcW w:w="3038" w:type="dxa"/>
            <w:vAlign w:val="center"/>
          </w:tcPr>
          <w:p w14:paraId="4563FC5F" w14:textId="55F5B9AF" w:rsidR="001569C6" w:rsidRPr="00CE5519" w:rsidRDefault="00E966AB"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c>
          <w:tcPr>
            <w:tcW w:w="4085" w:type="dxa"/>
            <w:vAlign w:val="center"/>
          </w:tcPr>
          <w:p w14:paraId="27D59D7B" w14:textId="0926D1F1"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Stage I-II unfavorable BULKY classical (planned combined modality therapy) We judged that the consensus category of 1 corresponded to </w:t>
            </w:r>
            <w:r w:rsidR="00725EBD" w:rsidRPr="00CE5519">
              <w:rPr>
                <w:sz w:val="18"/>
                <w:szCs w:val="18"/>
              </w:rPr>
              <w:t>the ABVD</w:t>
            </w:r>
            <w:r w:rsidRPr="00CE5519">
              <w:rPr>
                <w:sz w:val="18"/>
                <w:szCs w:val="18"/>
              </w:rPr>
              <w:t xml:space="preserve"> and BEACOPP regimens, while AVD was category 2A</w:t>
            </w:r>
          </w:p>
        </w:tc>
        <w:tc>
          <w:tcPr>
            <w:tcW w:w="4230" w:type="dxa"/>
            <w:vAlign w:val="center"/>
          </w:tcPr>
          <w:p w14:paraId="490750C6" w14:textId="3C1E60FC" w:rsidR="001569C6" w:rsidRPr="00CE5519" w:rsidRDefault="000E09FA"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r>
      <w:tr w:rsidR="001569C6" w:rsidRPr="00CE5519" w14:paraId="13955CCA"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35FD5A2E" w14:textId="4C5CCCC9" w:rsidR="001569C6" w:rsidRPr="00CE5519" w:rsidRDefault="001569C6" w:rsidP="00CE5519">
            <w:pPr>
              <w:numPr>
                <w:ilvl w:val="0"/>
                <w:numId w:val="0"/>
              </w:numPr>
              <w:ind w:left="360"/>
              <w:rPr>
                <w:b w:val="0"/>
                <w:bCs w:val="0"/>
                <w:sz w:val="18"/>
                <w:szCs w:val="18"/>
              </w:rPr>
            </w:pPr>
            <w:r w:rsidRPr="00CE5519">
              <w:rPr>
                <w:b w:val="0"/>
                <w:bCs w:val="0"/>
                <w:sz w:val="18"/>
                <w:szCs w:val="18"/>
              </w:rPr>
              <w:t>Hodgkin Lymphoma</w:t>
            </w:r>
          </w:p>
        </w:tc>
        <w:tc>
          <w:tcPr>
            <w:tcW w:w="3038" w:type="dxa"/>
            <w:vAlign w:val="center"/>
          </w:tcPr>
          <w:p w14:paraId="53796130" w14:textId="4EE154A0" w:rsidR="001569C6" w:rsidRPr="00CE5519" w:rsidRDefault="00E966AB"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c>
          <w:tcPr>
            <w:tcW w:w="4085" w:type="dxa"/>
            <w:vAlign w:val="center"/>
          </w:tcPr>
          <w:p w14:paraId="72925D67" w14:textId="1F2924F8"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nodular lymphocyte-predominant, stage IA/IIA, we assumed 2 cycles of chemotherapy in combination with RT (per cited references), except for the CVP regimen in which case we assumed 3 cycles. We made the same assumptions for more advanced/higher-stage disease, because we could not identify references that specified a different number of cycles.</w:t>
            </w:r>
          </w:p>
        </w:tc>
        <w:tc>
          <w:tcPr>
            <w:tcW w:w="4230" w:type="dxa"/>
            <w:vAlign w:val="center"/>
          </w:tcPr>
          <w:p w14:paraId="741638FE" w14:textId="747B766A" w:rsidR="001569C6" w:rsidRPr="00CE5519" w:rsidRDefault="000E09FA"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r>
      <w:tr w:rsidR="000B2B6A" w:rsidRPr="00CE5519" w14:paraId="7155933F"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25E49B1B" w14:textId="51275CA1" w:rsidR="000B2B6A" w:rsidRPr="00CE5519" w:rsidRDefault="000B2B6A" w:rsidP="00CE5519">
            <w:pPr>
              <w:numPr>
                <w:ilvl w:val="0"/>
                <w:numId w:val="0"/>
              </w:numPr>
              <w:ind w:left="360"/>
              <w:rPr>
                <w:b w:val="0"/>
                <w:bCs w:val="0"/>
                <w:sz w:val="18"/>
                <w:szCs w:val="18"/>
              </w:rPr>
            </w:pPr>
            <w:r w:rsidRPr="00CE5519">
              <w:rPr>
                <w:b w:val="0"/>
                <w:bCs w:val="0"/>
                <w:sz w:val="18"/>
                <w:szCs w:val="18"/>
              </w:rPr>
              <w:lastRenderedPageBreak/>
              <w:t>Hodgkin Lymphoma</w:t>
            </w:r>
          </w:p>
        </w:tc>
        <w:tc>
          <w:tcPr>
            <w:tcW w:w="3038" w:type="dxa"/>
            <w:vAlign w:val="center"/>
          </w:tcPr>
          <w:p w14:paraId="4E1F34CC" w14:textId="5E1D43C3" w:rsidR="000B2B6A" w:rsidRPr="00CE5519" w:rsidRDefault="000B2B6A"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Stanford V x12 weeks + ISRT</w:t>
            </w:r>
          </w:p>
        </w:tc>
        <w:tc>
          <w:tcPr>
            <w:tcW w:w="4085" w:type="dxa"/>
            <w:vAlign w:val="center"/>
          </w:tcPr>
          <w:p w14:paraId="1E3955B8" w14:textId="2120FA56" w:rsidR="000B2B6A" w:rsidRPr="00CE5519" w:rsidRDefault="000B2B6A"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For Evidence Blocks after July 2019, pricing for Mechlorethamine pulled from July 2019 (most recently available price before becoming commercially unavailable in the U.S.)</w:t>
            </w:r>
          </w:p>
        </w:tc>
        <w:tc>
          <w:tcPr>
            <w:tcW w:w="4230" w:type="dxa"/>
            <w:vAlign w:val="center"/>
          </w:tcPr>
          <w:p w14:paraId="189A44FE" w14:textId="77777777" w:rsidR="000B2B6A" w:rsidRPr="00CE5519" w:rsidRDefault="000B2B6A"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B3770A" w:rsidRPr="00CE5519" w14:paraId="703C3C5D"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7D85F416" w14:textId="5B9B763B" w:rsidR="00B3770A" w:rsidRPr="00CE5519" w:rsidRDefault="00B3770A" w:rsidP="00CE5519">
            <w:pPr>
              <w:numPr>
                <w:ilvl w:val="0"/>
                <w:numId w:val="0"/>
              </w:numPr>
              <w:ind w:left="360"/>
              <w:rPr>
                <w:b w:val="0"/>
                <w:bCs w:val="0"/>
                <w:sz w:val="18"/>
                <w:szCs w:val="18"/>
              </w:rPr>
            </w:pPr>
            <w:r w:rsidRPr="00CE5519">
              <w:rPr>
                <w:b w:val="0"/>
                <w:bCs w:val="0"/>
                <w:sz w:val="18"/>
                <w:szCs w:val="18"/>
              </w:rPr>
              <w:t>Kidney</w:t>
            </w:r>
          </w:p>
        </w:tc>
        <w:tc>
          <w:tcPr>
            <w:tcW w:w="3038" w:type="dxa"/>
            <w:vAlign w:val="center"/>
          </w:tcPr>
          <w:p w14:paraId="16F1F84A" w14:textId="5FDF9D96" w:rsidR="00B3770A" w:rsidRPr="00CE5519" w:rsidRDefault="00495B7F"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Erlotinib</w:t>
            </w:r>
          </w:p>
        </w:tc>
        <w:tc>
          <w:tcPr>
            <w:tcW w:w="4085" w:type="dxa"/>
            <w:vAlign w:val="center"/>
          </w:tcPr>
          <w:p w14:paraId="5BCEF1F1" w14:textId="254CFA98" w:rsidR="00B3770A" w:rsidRPr="00CE5519" w:rsidRDefault="00B3770A"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erlotinib, we assumed the same dosing as for non-small cell lung cancer</w:t>
            </w:r>
          </w:p>
        </w:tc>
        <w:tc>
          <w:tcPr>
            <w:tcW w:w="4230" w:type="dxa"/>
            <w:vAlign w:val="center"/>
          </w:tcPr>
          <w:p w14:paraId="2D249A32" w14:textId="1CC3B0A3" w:rsidR="00B3770A" w:rsidRPr="00CE5519" w:rsidRDefault="00495B7F"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26042</w:t>
            </w:r>
          </w:p>
        </w:tc>
      </w:tr>
      <w:tr w:rsidR="001569C6" w:rsidRPr="00CE5519" w14:paraId="1CA357EB"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6415763D" w14:textId="087C11CB" w:rsidR="001569C6" w:rsidRPr="00CE5519" w:rsidRDefault="001569C6" w:rsidP="00CE5519">
            <w:pPr>
              <w:numPr>
                <w:ilvl w:val="0"/>
                <w:numId w:val="0"/>
              </w:numPr>
              <w:ind w:left="360"/>
              <w:rPr>
                <w:b w:val="0"/>
                <w:bCs w:val="0"/>
                <w:sz w:val="18"/>
                <w:szCs w:val="18"/>
              </w:rPr>
            </w:pPr>
            <w:r w:rsidRPr="00CE5519">
              <w:rPr>
                <w:b w:val="0"/>
                <w:bCs w:val="0"/>
                <w:sz w:val="18"/>
                <w:szCs w:val="18"/>
              </w:rPr>
              <w:t>Melanoma</w:t>
            </w:r>
          </w:p>
        </w:tc>
        <w:tc>
          <w:tcPr>
            <w:tcW w:w="3038" w:type="dxa"/>
            <w:vAlign w:val="center"/>
          </w:tcPr>
          <w:p w14:paraId="2665FF98" w14:textId="619DE86E" w:rsidR="001569C6" w:rsidRPr="00CE5519" w:rsidRDefault="001E49C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CE5519">
              <w:rPr>
                <w:sz w:val="18"/>
                <w:szCs w:val="18"/>
              </w:rPr>
              <w:t>Biochemotherapy</w:t>
            </w:r>
            <w:proofErr w:type="spellEnd"/>
          </w:p>
        </w:tc>
        <w:tc>
          <w:tcPr>
            <w:tcW w:w="4085" w:type="dxa"/>
            <w:vAlign w:val="center"/>
          </w:tcPr>
          <w:p w14:paraId="320B203E" w14:textId="1AC3481A"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For the “</w:t>
            </w:r>
            <w:proofErr w:type="spellStart"/>
            <w:r w:rsidRPr="00CE5519">
              <w:rPr>
                <w:sz w:val="18"/>
                <w:szCs w:val="18"/>
              </w:rPr>
              <w:t>biochemotherapy</w:t>
            </w:r>
            <w:proofErr w:type="spellEnd"/>
            <w:r w:rsidRPr="00CE5519">
              <w:rPr>
                <w:sz w:val="18"/>
                <w:szCs w:val="18"/>
              </w:rPr>
              <w:t>” regimen, we assumed IV dosing of IFN-a-2b</w:t>
            </w:r>
          </w:p>
        </w:tc>
        <w:tc>
          <w:tcPr>
            <w:tcW w:w="4230" w:type="dxa"/>
            <w:vAlign w:val="center"/>
          </w:tcPr>
          <w:p w14:paraId="6FE0C2F0" w14:textId="636993E8" w:rsidR="001569C6" w:rsidRPr="00CE5519" w:rsidRDefault="001E49CC"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20009, 20038</w:t>
            </w:r>
          </w:p>
        </w:tc>
      </w:tr>
      <w:tr w:rsidR="001569C6" w:rsidRPr="00CE5519" w14:paraId="3CB959C3"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4170870C" w14:textId="50B1DF7E" w:rsidR="001569C6" w:rsidRPr="00CE5519" w:rsidRDefault="001569C6" w:rsidP="00CE5519">
            <w:pPr>
              <w:numPr>
                <w:ilvl w:val="0"/>
                <w:numId w:val="0"/>
              </w:numPr>
              <w:ind w:left="360"/>
              <w:rPr>
                <w:b w:val="0"/>
                <w:bCs w:val="0"/>
                <w:sz w:val="18"/>
                <w:szCs w:val="18"/>
              </w:rPr>
            </w:pPr>
            <w:r w:rsidRPr="00CE5519">
              <w:rPr>
                <w:b w:val="0"/>
                <w:bCs w:val="0"/>
                <w:sz w:val="18"/>
                <w:szCs w:val="18"/>
              </w:rPr>
              <w:t>Melanoma</w:t>
            </w:r>
          </w:p>
        </w:tc>
        <w:tc>
          <w:tcPr>
            <w:tcW w:w="3038" w:type="dxa"/>
            <w:vAlign w:val="center"/>
          </w:tcPr>
          <w:p w14:paraId="14F9A570" w14:textId="0AE71347" w:rsidR="001569C6" w:rsidRPr="00CE5519" w:rsidRDefault="00E438AC"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Intra-lesional injections</w:t>
            </w:r>
          </w:p>
        </w:tc>
        <w:tc>
          <w:tcPr>
            <w:tcW w:w="4085" w:type="dxa"/>
            <w:vAlign w:val="center"/>
          </w:tcPr>
          <w:p w14:paraId="484C7781" w14:textId="52D7BAA4"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For intra-lesional injections, we based dosing calculations on the clinical trial of </w:t>
            </w:r>
            <w:proofErr w:type="spellStart"/>
            <w:r w:rsidRPr="00CE5519">
              <w:rPr>
                <w:sz w:val="18"/>
                <w:szCs w:val="18"/>
              </w:rPr>
              <w:t>Talimogene</w:t>
            </w:r>
            <w:proofErr w:type="spellEnd"/>
            <w:r w:rsidRPr="00CE5519">
              <w:rPr>
                <w:sz w:val="18"/>
                <w:szCs w:val="18"/>
              </w:rPr>
              <w:t xml:space="preserve"> </w:t>
            </w:r>
            <w:proofErr w:type="spellStart"/>
            <w:r w:rsidRPr="00CE5519">
              <w:rPr>
                <w:sz w:val="18"/>
                <w:szCs w:val="18"/>
              </w:rPr>
              <w:t>Laherparepvec</w:t>
            </w:r>
            <w:proofErr w:type="spellEnd"/>
            <w:r w:rsidRPr="00CE5519">
              <w:rPr>
                <w:sz w:val="18"/>
                <w:szCs w:val="18"/>
              </w:rPr>
              <w:t xml:space="preserve"> (T-VEC; NCT01740297, https://www.ncbi.nlm.nih.gov/pubmed/28981385) to approximate average lesion size. Based on the median sum of the products of the two longest perpendicular diameters (SPD) of 930mm^2 in the T-VEC arm, this would equate to average lesion measurements 30.5mm x 30.5mm assuming a square lesion, or 3.05cm. This would translate to a dose of “up to two mL” per lesion per dose by standard T-VEC dosing ranges. (We note that assuming a circular lesion would equate to a radius of 1.7cm and a diameter of 3.4cm, which would also receive the same dose of up to 2mL per lesion)</w:t>
            </w:r>
          </w:p>
        </w:tc>
        <w:tc>
          <w:tcPr>
            <w:tcW w:w="4230" w:type="dxa"/>
            <w:vAlign w:val="center"/>
          </w:tcPr>
          <w:p w14:paraId="38916415" w14:textId="52826B59" w:rsidR="001569C6" w:rsidRPr="00CE5519" w:rsidRDefault="00E438AC"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20031, 20032, 20066, 20082</w:t>
            </w:r>
          </w:p>
        </w:tc>
      </w:tr>
      <w:tr w:rsidR="001569C6" w:rsidRPr="00CE5519" w14:paraId="62FAA392"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0DE4BBF1" w14:textId="49E901EB" w:rsidR="001569C6" w:rsidRPr="00CE5519" w:rsidRDefault="001569C6" w:rsidP="00CE5519">
            <w:pPr>
              <w:numPr>
                <w:ilvl w:val="0"/>
                <w:numId w:val="0"/>
              </w:numPr>
              <w:ind w:left="360"/>
              <w:rPr>
                <w:b w:val="0"/>
                <w:bCs w:val="0"/>
                <w:sz w:val="18"/>
                <w:szCs w:val="18"/>
              </w:rPr>
            </w:pPr>
            <w:r w:rsidRPr="00CE5519">
              <w:rPr>
                <w:b w:val="0"/>
                <w:bCs w:val="0"/>
                <w:sz w:val="18"/>
                <w:szCs w:val="18"/>
              </w:rPr>
              <w:t>Melanoma</w:t>
            </w:r>
          </w:p>
        </w:tc>
        <w:tc>
          <w:tcPr>
            <w:tcW w:w="3038" w:type="dxa"/>
            <w:vAlign w:val="center"/>
          </w:tcPr>
          <w:p w14:paraId="1B0ACBCB" w14:textId="60B8740C" w:rsidR="001569C6" w:rsidRPr="00CE5519" w:rsidRDefault="00625635"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Isolated limb perfusion (ILP) with melphalan</w:t>
            </w:r>
          </w:p>
        </w:tc>
        <w:tc>
          <w:tcPr>
            <w:tcW w:w="4085" w:type="dxa"/>
            <w:vAlign w:val="center"/>
          </w:tcPr>
          <w:p w14:paraId="0838E9EA" w14:textId="0AFB8152"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For limb perfusion therapies, we assumed treatment was </w:t>
            </w:r>
            <w:proofErr w:type="spellStart"/>
            <w:r w:rsidRPr="00CE5519">
              <w:rPr>
                <w:sz w:val="18"/>
                <w:szCs w:val="18"/>
              </w:rPr>
              <w:t>give</w:t>
            </w:r>
            <w:proofErr w:type="spellEnd"/>
            <w:r w:rsidRPr="00CE5519">
              <w:rPr>
                <w:sz w:val="18"/>
                <w:szCs w:val="18"/>
              </w:rPr>
              <w:t xml:space="preserve"> to the arm (rather than leg), and assumed an average arm volume of 3L based on estimates of an average volume of 2.5L when including muscle only (</w:t>
            </w:r>
            <w:proofErr w:type="spellStart"/>
            <w:r w:rsidRPr="00CE5519">
              <w:rPr>
                <w:sz w:val="18"/>
                <w:szCs w:val="18"/>
              </w:rPr>
              <w:t>Holzbaur</w:t>
            </w:r>
            <w:proofErr w:type="spellEnd"/>
            <w:r w:rsidRPr="00CE5519">
              <w:rPr>
                <w:sz w:val="18"/>
                <w:szCs w:val="18"/>
              </w:rPr>
              <w:t xml:space="preserve"> et al, J </w:t>
            </w:r>
            <w:proofErr w:type="spellStart"/>
            <w:r w:rsidRPr="00CE5519">
              <w:rPr>
                <w:sz w:val="18"/>
                <w:szCs w:val="18"/>
              </w:rPr>
              <w:t>Biomech</w:t>
            </w:r>
            <w:proofErr w:type="spellEnd"/>
            <w:r w:rsidRPr="00CE5519">
              <w:rPr>
                <w:sz w:val="18"/>
                <w:szCs w:val="18"/>
              </w:rPr>
              <w:t xml:space="preserve"> 2007: https://pubmed.ncbi.nlm.nih.gov/17241636/</w:t>
            </w:r>
          </w:p>
        </w:tc>
        <w:tc>
          <w:tcPr>
            <w:tcW w:w="4230" w:type="dxa"/>
            <w:vAlign w:val="center"/>
          </w:tcPr>
          <w:p w14:paraId="0A726E35" w14:textId="7E2FD979" w:rsidR="001569C6" w:rsidRPr="00CE5519" w:rsidRDefault="00625635"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20019</w:t>
            </w:r>
          </w:p>
        </w:tc>
      </w:tr>
      <w:tr w:rsidR="001569C6" w:rsidRPr="00CE5519" w14:paraId="0E411ED5"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4461FA58" w14:textId="6D9CDE4F" w:rsidR="001569C6" w:rsidRPr="00CE5519" w:rsidRDefault="001569C6" w:rsidP="00CE5519">
            <w:pPr>
              <w:numPr>
                <w:ilvl w:val="0"/>
                <w:numId w:val="0"/>
              </w:numPr>
              <w:ind w:left="360"/>
              <w:rPr>
                <w:b w:val="0"/>
                <w:bCs w:val="0"/>
                <w:sz w:val="18"/>
                <w:szCs w:val="18"/>
              </w:rPr>
            </w:pPr>
            <w:r w:rsidRPr="00CE5519">
              <w:rPr>
                <w:b w:val="0"/>
                <w:bCs w:val="0"/>
                <w:sz w:val="18"/>
                <w:szCs w:val="18"/>
              </w:rPr>
              <w:t>Melanoma</w:t>
            </w:r>
          </w:p>
        </w:tc>
        <w:tc>
          <w:tcPr>
            <w:tcW w:w="3038" w:type="dxa"/>
            <w:vAlign w:val="center"/>
          </w:tcPr>
          <w:p w14:paraId="667355D7" w14:textId="3816E7E0" w:rsidR="00625635" w:rsidRPr="00CE5519" w:rsidRDefault="00625635"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Isolated limb infusion (ILI) with melphalan</w:t>
            </w:r>
          </w:p>
          <w:p w14:paraId="2701B431" w14:textId="77777777" w:rsidR="00625635" w:rsidRPr="00CE5519" w:rsidRDefault="00625635"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p>
          <w:p w14:paraId="7DCDE7CB" w14:textId="2A6B0389" w:rsidR="001569C6" w:rsidRPr="00CE5519" w:rsidRDefault="00625635"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Isolated limb perfusion (ILP) with melphalan</w:t>
            </w:r>
          </w:p>
        </w:tc>
        <w:tc>
          <w:tcPr>
            <w:tcW w:w="4085" w:type="dxa"/>
            <w:vAlign w:val="center"/>
          </w:tcPr>
          <w:p w14:paraId="5F42512D" w14:textId="36096D64"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ILP/ILI procedures, we assumed minimal emetic risk</w:t>
            </w:r>
          </w:p>
        </w:tc>
        <w:tc>
          <w:tcPr>
            <w:tcW w:w="4230" w:type="dxa"/>
            <w:vAlign w:val="center"/>
          </w:tcPr>
          <w:p w14:paraId="0E31240F" w14:textId="1148497C" w:rsidR="001569C6" w:rsidRPr="00CE5519" w:rsidRDefault="00625635"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20018, 20019</w:t>
            </w:r>
          </w:p>
        </w:tc>
      </w:tr>
      <w:tr w:rsidR="001569C6" w:rsidRPr="00CE5519" w14:paraId="6A28C991"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73487A83" w14:textId="22B6765D" w:rsidR="001569C6" w:rsidRPr="00CE5519" w:rsidRDefault="001569C6" w:rsidP="00CE5519">
            <w:pPr>
              <w:numPr>
                <w:ilvl w:val="0"/>
                <w:numId w:val="0"/>
              </w:numPr>
              <w:ind w:left="360"/>
              <w:rPr>
                <w:b w:val="0"/>
                <w:bCs w:val="0"/>
                <w:sz w:val="18"/>
                <w:szCs w:val="18"/>
              </w:rPr>
            </w:pPr>
            <w:r w:rsidRPr="00CE5519">
              <w:rPr>
                <w:b w:val="0"/>
                <w:bCs w:val="0"/>
                <w:sz w:val="18"/>
                <w:szCs w:val="18"/>
              </w:rPr>
              <w:t>Myeloma</w:t>
            </w:r>
          </w:p>
        </w:tc>
        <w:tc>
          <w:tcPr>
            <w:tcW w:w="3038" w:type="dxa"/>
            <w:vAlign w:val="center"/>
          </w:tcPr>
          <w:p w14:paraId="3E90E914" w14:textId="49955763" w:rsidR="001569C6" w:rsidRPr="00CE5519" w:rsidRDefault="00B929E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Bortezomib monotherapy</w:t>
            </w:r>
          </w:p>
        </w:tc>
        <w:tc>
          <w:tcPr>
            <w:tcW w:w="4085" w:type="dxa"/>
            <w:vAlign w:val="center"/>
          </w:tcPr>
          <w:p w14:paraId="584A76E9" w14:textId="1DB3C075" w:rsidR="001569C6" w:rsidRPr="00CE5519" w:rsidRDefault="00B929E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Dosed </w:t>
            </w:r>
            <w:r w:rsidR="001569C6" w:rsidRPr="00CE5519">
              <w:rPr>
                <w:sz w:val="18"/>
                <w:szCs w:val="18"/>
              </w:rPr>
              <w:t>per: https://pubmed.ncbi.nlm.nih.gov/23616624/</w:t>
            </w:r>
          </w:p>
        </w:tc>
        <w:tc>
          <w:tcPr>
            <w:tcW w:w="4230" w:type="dxa"/>
            <w:vAlign w:val="center"/>
          </w:tcPr>
          <w:p w14:paraId="3BC0AFE5" w14:textId="69A14A23" w:rsidR="001569C6" w:rsidRPr="00CE5519" w:rsidRDefault="001569C6"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27021, 27100</w:t>
            </w:r>
          </w:p>
        </w:tc>
      </w:tr>
      <w:tr w:rsidR="001569C6" w:rsidRPr="00CE5519" w14:paraId="4F960201"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39C9B6AA" w14:textId="6BA612E7" w:rsidR="001569C6" w:rsidRPr="00CE5519" w:rsidRDefault="001569C6" w:rsidP="00CE5519">
            <w:pPr>
              <w:numPr>
                <w:ilvl w:val="0"/>
                <w:numId w:val="0"/>
              </w:numPr>
              <w:ind w:left="360"/>
              <w:rPr>
                <w:b w:val="0"/>
                <w:bCs w:val="0"/>
                <w:sz w:val="18"/>
                <w:szCs w:val="18"/>
              </w:rPr>
            </w:pPr>
            <w:r w:rsidRPr="00CE5519">
              <w:rPr>
                <w:b w:val="0"/>
                <w:bCs w:val="0"/>
                <w:sz w:val="18"/>
                <w:szCs w:val="18"/>
              </w:rPr>
              <w:t>Myeloma</w:t>
            </w:r>
          </w:p>
        </w:tc>
        <w:tc>
          <w:tcPr>
            <w:tcW w:w="3038" w:type="dxa"/>
            <w:vAlign w:val="center"/>
          </w:tcPr>
          <w:p w14:paraId="0A715C52" w14:textId="3B316792" w:rsidR="001569C6" w:rsidRPr="00CE5519" w:rsidRDefault="00B929EC"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CE5519">
              <w:rPr>
                <w:sz w:val="18"/>
                <w:szCs w:val="18"/>
              </w:rPr>
              <w:t>Ixazomib</w:t>
            </w:r>
            <w:proofErr w:type="spellEnd"/>
            <w:r w:rsidRPr="00CE5519">
              <w:rPr>
                <w:sz w:val="18"/>
                <w:szCs w:val="18"/>
              </w:rPr>
              <w:t>, cyclophosphamide, and dexamethasone</w:t>
            </w:r>
          </w:p>
        </w:tc>
        <w:tc>
          <w:tcPr>
            <w:tcW w:w="4085" w:type="dxa"/>
            <w:vAlign w:val="center"/>
          </w:tcPr>
          <w:p w14:paraId="39EF70FC" w14:textId="1CA22DEF"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We were unable to find a reference study for the regimen </w:t>
            </w:r>
            <w:proofErr w:type="spellStart"/>
            <w:r w:rsidRPr="00CE5519">
              <w:rPr>
                <w:sz w:val="18"/>
                <w:szCs w:val="18"/>
              </w:rPr>
              <w:t>Ixazomib</w:t>
            </w:r>
            <w:proofErr w:type="spellEnd"/>
            <w:r w:rsidRPr="00CE5519">
              <w:rPr>
                <w:sz w:val="18"/>
                <w:szCs w:val="18"/>
              </w:rPr>
              <w:t xml:space="preserve"> + cyclophosphamide + dexamethasone for the indication of induction therapy pre-stem cell transplant. We therefore inferred a treatment duration of 8 cycles based on similar induction regimens such as </w:t>
            </w:r>
            <w:proofErr w:type="spellStart"/>
            <w:r w:rsidRPr="00CE5519">
              <w:rPr>
                <w:sz w:val="18"/>
                <w:szCs w:val="18"/>
              </w:rPr>
              <w:t>bortezomib</w:t>
            </w:r>
            <w:r w:rsidR="00E966AB" w:rsidRPr="00CE5519">
              <w:rPr>
                <w:sz w:val="18"/>
                <w:szCs w:val="18"/>
              </w:rPr>
              <w:t>+</w:t>
            </w:r>
            <w:r w:rsidRPr="00CE5519">
              <w:rPr>
                <w:sz w:val="18"/>
                <w:szCs w:val="18"/>
              </w:rPr>
              <w:t>len</w:t>
            </w:r>
            <w:r w:rsidR="00E966AB" w:rsidRPr="00CE5519">
              <w:rPr>
                <w:sz w:val="18"/>
                <w:szCs w:val="18"/>
              </w:rPr>
              <w:t>alidomide+</w:t>
            </w:r>
            <w:r w:rsidRPr="00CE5519">
              <w:rPr>
                <w:sz w:val="18"/>
                <w:szCs w:val="18"/>
              </w:rPr>
              <w:t>dex</w:t>
            </w:r>
            <w:r w:rsidR="00E966AB" w:rsidRPr="00CE5519">
              <w:rPr>
                <w:sz w:val="18"/>
                <w:szCs w:val="18"/>
              </w:rPr>
              <w:t>amethasone</w:t>
            </w:r>
            <w:proofErr w:type="spellEnd"/>
          </w:p>
        </w:tc>
        <w:tc>
          <w:tcPr>
            <w:tcW w:w="4230" w:type="dxa"/>
            <w:vAlign w:val="center"/>
          </w:tcPr>
          <w:p w14:paraId="31CE3A0E" w14:textId="1A778AE9" w:rsidR="001569C6" w:rsidRPr="00CE5519" w:rsidRDefault="001569C6"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27057</w:t>
            </w:r>
          </w:p>
        </w:tc>
      </w:tr>
      <w:tr w:rsidR="001569C6" w:rsidRPr="00CE5519" w14:paraId="355E5F11"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48D7AED0" w14:textId="7718C224" w:rsidR="001569C6" w:rsidRPr="00CE5519" w:rsidRDefault="001569C6" w:rsidP="00CE5519">
            <w:pPr>
              <w:numPr>
                <w:ilvl w:val="0"/>
                <w:numId w:val="0"/>
              </w:numPr>
              <w:ind w:left="360"/>
              <w:rPr>
                <w:b w:val="0"/>
                <w:bCs w:val="0"/>
                <w:sz w:val="18"/>
                <w:szCs w:val="18"/>
              </w:rPr>
            </w:pPr>
            <w:r w:rsidRPr="00CE5519">
              <w:rPr>
                <w:b w:val="0"/>
                <w:bCs w:val="0"/>
                <w:sz w:val="18"/>
                <w:szCs w:val="18"/>
              </w:rPr>
              <w:t>Myeloma</w:t>
            </w:r>
          </w:p>
        </w:tc>
        <w:tc>
          <w:tcPr>
            <w:tcW w:w="3038" w:type="dxa"/>
            <w:vAlign w:val="center"/>
          </w:tcPr>
          <w:p w14:paraId="155A4239" w14:textId="5484CFF5" w:rsidR="001569C6" w:rsidRPr="00CE5519" w:rsidRDefault="00E966AB"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c>
          <w:tcPr>
            <w:tcW w:w="4085" w:type="dxa"/>
            <w:vAlign w:val="center"/>
          </w:tcPr>
          <w:p w14:paraId="42AB4452" w14:textId="7D878EF9"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For all multiple myeloma cases that included autologous stem-cell transplantation, we assumed the full stem-cell </w:t>
            </w:r>
            <w:r w:rsidR="00E966AB" w:rsidRPr="00CE5519">
              <w:rPr>
                <w:sz w:val="18"/>
                <w:szCs w:val="18"/>
              </w:rPr>
              <w:t>transplantation</w:t>
            </w:r>
            <w:r w:rsidRPr="00CE5519">
              <w:rPr>
                <w:sz w:val="18"/>
                <w:szCs w:val="18"/>
              </w:rPr>
              <w:t xml:space="preserve"> process would take 8 weeks</w:t>
            </w:r>
          </w:p>
        </w:tc>
        <w:tc>
          <w:tcPr>
            <w:tcW w:w="4230" w:type="dxa"/>
            <w:vAlign w:val="center"/>
          </w:tcPr>
          <w:p w14:paraId="3F68DFCC" w14:textId="3A48BFEB" w:rsidR="001569C6" w:rsidRPr="00CE5519" w:rsidRDefault="000E09FA"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r>
      <w:tr w:rsidR="001569C6" w:rsidRPr="00CE5519" w14:paraId="4876F3FD"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0071CD5F" w14:textId="31A87356" w:rsidR="001569C6" w:rsidRPr="00CE5519" w:rsidRDefault="001569C6" w:rsidP="00CE5519">
            <w:pPr>
              <w:numPr>
                <w:ilvl w:val="0"/>
                <w:numId w:val="0"/>
              </w:numPr>
              <w:ind w:left="360"/>
              <w:rPr>
                <w:b w:val="0"/>
                <w:bCs w:val="0"/>
                <w:sz w:val="18"/>
                <w:szCs w:val="18"/>
              </w:rPr>
            </w:pPr>
            <w:r w:rsidRPr="00CE5519">
              <w:rPr>
                <w:b w:val="0"/>
                <w:bCs w:val="0"/>
                <w:sz w:val="18"/>
                <w:szCs w:val="18"/>
              </w:rPr>
              <w:t>Myeloma</w:t>
            </w:r>
          </w:p>
        </w:tc>
        <w:tc>
          <w:tcPr>
            <w:tcW w:w="3038" w:type="dxa"/>
            <w:vAlign w:val="center"/>
          </w:tcPr>
          <w:p w14:paraId="28E05FD9" w14:textId="55CC546D" w:rsidR="001569C6" w:rsidRPr="00CE5519" w:rsidRDefault="00E966AB"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(VTD-PACE) </w:t>
            </w:r>
            <w:r w:rsidR="00733223" w:rsidRPr="00CE5519">
              <w:rPr>
                <w:sz w:val="18"/>
                <w:szCs w:val="18"/>
              </w:rPr>
              <w:t>Dexamethasone, Thalidomide, Cisplatin, Doxorubicin, Cyclophosphamide, Etoposide, and Bortezomib</w:t>
            </w:r>
          </w:p>
        </w:tc>
        <w:tc>
          <w:tcPr>
            <w:tcW w:w="4085" w:type="dxa"/>
            <w:vAlign w:val="center"/>
          </w:tcPr>
          <w:p w14:paraId="42C9D35C" w14:textId="59F79491"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For </w:t>
            </w:r>
            <w:r w:rsidR="00E966AB" w:rsidRPr="00CE5519">
              <w:rPr>
                <w:sz w:val="18"/>
                <w:szCs w:val="18"/>
              </w:rPr>
              <w:t>entire</w:t>
            </w:r>
            <w:r w:rsidRPr="00CE5519">
              <w:rPr>
                <w:sz w:val="18"/>
                <w:szCs w:val="18"/>
              </w:rPr>
              <w:t xml:space="preserve"> regimen (https://www.nejm.org/doi/10.1056/NEJMoa053583), for the purposes of thalidomide dosing we assumed 4 week intervals between the 4 initial induction cycles</w:t>
            </w:r>
          </w:p>
        </w:tc>
        <w:tc>
          <w:tcPr>
            <w:tcW w:w="4230" w:type="dxa"/>
            <w:vAlign w:val="center"/>
          </w:tcPr>
          <w:p w14:paraId="53BE595C" w14:textId="2AC1BC25" w:rsidR="001569C6" w:rsidRPr="00CE5519" w:rsidRDefault="00733223"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27010, 27032</w:t>
            </w:r>
          </w:p>
        </w:tc>
      </w:tr>
      <w:tr w:rsidR="001569C6" w:rsidRPr="00CE5519" w14:paraId="7396195D"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167B1B63" w14:textId="2ABE391C" w:rsidR="001569C6" w:rsidRPr="00CE5519" w:rsidRDefault="001569C6" w:rsidP="00CE5519">
            <w:pPr>
              <w:numPr>
                <w:ilvl w:val="0"/>
                <w:numId w:val="0"/>
              </w:numPr>
              <w:ind w:left="360"/>
              <w:rPr>
                <w:b w:val="0"/>
                <w:bCs w:val="0"/>
                <w:sz w:val="18"/>
                <w:szCs w:val="18"/>
              </w:rPr>
            </w:pPr>
            <w:r w:rsidRPr="00CE5519">
              <w:rPr>
                <w:b w:val="0"/>
                <w:bCs w:val="0"/>
                <w:sz w:val="18"/>
                <w:szCs w:val="18"/>
              </w:rPr>
              <w:t>Myeloma</w:t>
            </w:r>
          </w:p>
        </w:tc>
        <w:tc>
          <w:tcPr>
            <w:tcW w:w="3038" w:type="dxa"/>
            <w:vAlign w:val="center"/>
          </w:tcPr>
          <w:p w14:paraId="0BD65CB7" w14:textId="5E5E686F" w:rsidR="001569C6" w:rsidRPr="00CE5519" w:rsidRDefault="00733223"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Carfilzomib, lenalidomide, and dexamethasone</w:t>
            </w:r>
          </w:p>
        </w:tc>
        <w:tc>
          <w:tcPr>
            <w:tcW w:w="4085" w:type="dxa"/>
            <w:vAlign w:val="center"/>
          </w:tcPr>
          <w:p w14:paraId="39AF915A" w14:textId="6683F461"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In cases where the combination </w:t>
            </w:r>
            <w:proofErr w:type="spellStart"/>
            <w:r w:rsidRPr="00CE5519">
              <w:rPr>
                <w:sz w:val="18"/>
                <w:szCs w:val="18"/>
              </w:rPr>
              <w:t>carfilzomib+lenalidomide+dexamethasone</w:t>
            </w:r>
            <w:proofErr w:type="spellEnd"/>
            <w:r w:rsidRPr="00CE5519">
              <w:rPr>
                <w:sz w:val="18"/>
                <w:szCs w:val="18"/>
              </w:rPr>
              <w:t xml:space="preserve"> was given for a defined course that exceeded one year, we based pricing on the first year of therapy.</w:t>
            </w:r>
          </w:p>
        </w:tc>
        <w:tc>
          <w:tcPr>
            <w:tcW w:w="4230" w:type="dxa"/>
            <w:vAlign w:val="center"/>
          </w:tcPr>
          <w:p w14:paraId="1F67FE5E" w14:textId="17434C84" w:rsidR="001569C6" w:rsidRPr="00CE5519" w:rsidRDefault="000E09FA"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r>
      <w:tr w:rsidR="001569C6" w:rsidRPr="00CE5519" w14:paraId="156FE5F8"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6057EDFC" w14:textId="5EA1B027" w:rsidR="001569C6" w:rsidRPr="00CE5519" w:rsidRDefault="001569C6" w:rsidP="00CE5519">
            <w:pPr>
              <w:numPr>
                <w:ilvl w:val="0"/>
                <w:numId w:val="0"/>
              </w:numPr>
              <w:ind w:left="360"/>
              <w:rPr>
                <w:b w:val="0"/>
                <w:bCs w:val="0"/>
                <w:sz w:val="18"/>
                <w:szCs w:val="18"/>
              </w:rPr>
            </w:pPr>
            <w:r w:rsidRPr="00CE5519">
              <w:rPr>
                <w:b w:val="0"/>
                <w:bCs w:val="0"/>
                <w:sz w:val="18"/>
                <w:szCs w:val="18"/>
              </w:rPr>
              <w:lastRenderedPageBreak/>
              <w:t>Myeloma</w:t>
            </w:r>
          </w:p>
        </w:tc>
        <w:tc>
          <w:tcPr>
            <w:tcW w:w="3038" w:type="dxa"/>
            <w:vAlign w:val="center"/>
          </w:tcPr>
          <w:p w14:paraId="2851B749" w14:textId="54EB6065" w:rsidR="001569C6" w:rsidRPr="00CE5519" w:rsidRDefault="00FE449F"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Carfilzomib, lenalidomide, and dexamethasone</w:t>
            </w:r>
          </w:p>
        </w:tc>
        <w:tc>
          <w:tcPr>
            <w:tcW w:w="4085" w:type="dxa"/>
            <w:vAlign w:val="center"/>
          </w:tcPr>
          <w:p w14:paraId="61F14415" w14:textId="7BD4C084"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For the combination carfilzomib + lenalidomide + dexamethasone being given prior to stem cell transplant, we assumed 9 cycles prior to transplant based on findings by </w:t>
            </w:r>
            <w:proofErr w:type="spellStart"/>
            <w:r w:rsidRPr="00CE5519">
              <w:rPr>
                <w:sz w:val="18"/>
                <w:szCs w:val="18"/>
              </w:rPr>
              <w:t>Bringhen</w:t>
            </w:r>
            <w:proofErr w:type="spellEnd"/>
            <w:r w:rsidRPr="00CE5519">
              <w:rPr>
                <w:sz w:val="18"/>
                <w:szCs w:val="18"/>
              </w:rPr>
              <w:t xml:space="preserve"> et al, Blood 2024: https://www.ncbi.nlm.nih.gov/pubmed/24855212</w:t>
            </w:r>
          </w:p>
        </w:tc>
        <w:tc>
          <w:tcPr>
            <w:tcW w:w="4230" w:type="dxa"/>
            <w:vAlign w:val="center"/>
          </w:tcPr>
          <w:p w14:paraId="7FCDCE4A" w14:textId="0BDB249F" w:rsidR="001569C6" w:rsidRPr="00CE5519" w:rsidRDefault="000E09FA"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r>
      <w:tr w:rsidR="001569C6" w:rsidRPr="00CE5519" w14:paraId="46D1025F"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00D622F4" w14:textId="7BEF9EDB" w:rsidR="001569C6" w:rsidRPr="00CE5519" w:rsidRDefault="001569C6" w:rsidP="00CE5519">
            <w:pPr>
              <w:numPr>
                <w:ilvl w:val="0"/>
                <w:numId w:val="0"/>
              </w:numPr>
              <w:ind w:left="360"/>
              <w:rPr>
                <w:b w:val="0"/>
                <w:bCs w:val="0"/>
                <w:sz w:val="18"/>
                <w:szCs w:val="18"/>
              </w:rPr>
            </w:pPr>
            <w:r w:rsidRPr="00CE5519">
              <w:rPr>
                <w:b w:val="0"/>
                <w:bCs w:val="0"/>
                <w:sz w:val="18"/>
                <w:szCs w:val="18"/>
              </w:rPr>
              <w:t>Myeloma</w:t>
            </w:r>
          </w:p>
        </w:tc>
        <w:tc>
          <w:tcPr>
            <w:tcW w:w="3038" w:type="dxa"/>
            <w:vAlign w:val="center"/>
          </w:tcPr>
          <w:p w14:paraId="3207A589" w14:textId="561E7ED1" w:rsidR="001569C6" w:rsidRPr="00CE5519" w:rsidRDefault="00FE449F"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CE5519">
              <w:rPr>
                <w:sz w:val="18"/>
                <w:szCs w:val="18"/>
              </w:rPr>
              <w:t>Ixazomib</w:t>
            </w:r>
            <w:proofErr w:type="spellEnd"/>
            <w:r w:rsidRPr="00CE5519">
              <w:rPr>
                <w:sz w:val="18"/>
                <w:szCs w:val="18"/>
              </w:rPr>
              <w:t>, lenalidomide, and dexamethasone</w:t>
            </w:r>
          </w:p>
        </w:tc>
        <w:tc>
          <w:tcPr>
            <w:tcW w:w="4085" w:type="dxa"/>
            <w:vAlign w:val="center"/>
          </w:tcPr>
          <w:p w14:paraId="6A6649C4" w14:textId="0B1E8D41"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Since there was no publication</w:t>
            </w:r>
            <w:r w:rsidR="00E966AB" w:rsidRPr="00CE5519">
              <w:rPr>
                <w:sz w:val="18"/>
                <w:szCs w:val="18"/>
              </w:rPr>
              <w:t>,</w:t>
            </w:r>
            <w:r w:rsidRPr="00CE5519">
              <w:rPr>
                <w:sz w:val="18"/>
                <w:szCs w:val="18"/>
              </w:rPr>
              <w:t xml:space="preserve"> for induction therapy pre-stem cell transplant, we inferred 8 cycles from similar induction regimens such as </w:t>
            </w:r>
            <w:proofErr w:type="spellStart"/>
            <w:r w:rsidRPr="00CE5519">
              <w:rPr>
                <w:sz w:val="18"/>
                <w:szCs w:val="18"/>
              </w:rPr>
              <w:t>bortezomib</w:t>
            </w:r>
            <w:r w:rsidR="00E966AB" w:rsidRPr="00CE5519">
              <w:rPr>
                <w:sz w:val="18"/>
                <w:szCs w:val="18"/>
              </w:rPr>
              <w:t>+</w:t>
            </w:r>
            <w:r w:rsidRPr="00CE5519">
              <w:rPr>
                <w:sz w:val="18"/>
                <w:szCs w:val="18"/>
              </w:rPr>
              <w:t>len</w:t>
            </w:r>
            <w:r w:rsidR="00E966AB" w:rsidRPr="00CE5519">
              <w:rPr>
                <w:sz w:val="18"/>
                <w:szCs w:val="18"/>
              </w:rPr>
              <w:t>alidomide+</w:t>
            </w:r>
            <w:r w:rsidRPr="00CE5519">
              <w:rPr>
                <w:sz w:val="18"/>
                <w:szCs w:val="18"/>
              </w:rPr>
              <w:t>dex</w:t>
            </w:r>
            <w:r w:rsidR="00E966AB" w:rsidRPr="00CE5519">
              <w:rPr>
                <w:sz w:val="18"/>
                <w:szCs w:val="18"/>
              </w:rPr>
              <w:t>amethasone</w:t>
            </w:r>
            <w:proofErr w:type="spellEnd"/>
          </w:p>
        </w:tc>
        <w:tc>
          <w:tcPr>
            <w:tcW w:w="4230" w:type="dxa"/>
            <w:vAlign w:val="center"/>
          </w:tcPr>
          <w:p w14:paraId="7128D71A" w14:textId="711891DE" w:rsidR="001569C6" w:rsidRPr="00CE5519" w:rsidRDefault="000E09FA"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r>
      <w:tr w:rsidR="001569C6" w:rsidRPr="00CE5519" w14:paraId="0E992846"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5B54CF27" w14:textId="14282FE8" w:rsidR="001569C6" w:rsidRPr="00CE5519" w:rsidRDefault="001569C6" w:rsidP="00CE5519">
            <w:pPr>
              <w:numPr>
                <w:ilvl w:val="0"/>
                <w:numId w:val="0"/>
              </w:numPr>
              <w:ind w:left="360"/>
              <w:rPr>
                <w:b w:val="0"/>
                <w:bCs w:val="0"/>
                <w:sz w:val="18"/>
                <w:szCs w:val="18"/>
              </w:rPr>
            </w:pPr>
            <w:r w:rsidRPr="00CE5519">
              <w:rPr>
                <w:b w:val="0"/>
                <w:bCs w:val="0"/>
                <w:sz w:val="18"/>
                <w:szCs w:val="18"/>
              </w:rPr>
              <w:t>Non-Hodgkin’s Lymphoma (NHL, B-cell)</w:t>
            </w:r>
          </w:p>
        </w:tc>
        <w:tc>
          <w:tcPr>
            <w:tcW w:w="3038" w:type="dxa"/>
            <w:vAlign w:val="center"/>
          </w:tcPr>
          <w:p w14:paraId="5F9BE06F" w14:textId="58B76ABA" w:rsidR="001569C6" w:rsidRPr="00CE5519" w:rsidRDefault="00B929EC"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CE5519">
              <w:rPr>
                <w:sz w:val="18"/>
                <w:szCs w:val="18"/>
              </w:rPr>
              <w:t>Bendamustine</w:t>
            </w:r>
            <w:proofErr w:type="spellEnd"/>
            <w:r w:rsidRPr="00CE5519">
              <w:rPr>
                <w:sz w:val="18"/>
                <w:szCs w:val="18"/>
              </w:rPr>
              <w:t xml:space="preserve"> and rituximab</w:t>
            </w:r>
          </w:p>
        </w:tc>
        <w:tc>
          <w:tcPr>
            <w:tcW w:w="4085" w:type="dxa"/>
            <w:vAlign w:val="center"/>
          </w:tcPr>
          <w:p w14:paraId="79FDF749" w14:textId="0F863B43"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We assumed 4 cycles for mantle cell lymphoma, and for 6 cycles for follicular lymphoma</w:t>
            </w:r>
          </w:p>
        </w:tc>
        <w:tc>
          <w:tcPr>
            <w:tcW w:w="4230" w:type="dxa"/>
            <w:vAlign w:val="center"/>
          </w:tcPr>
          <w:p w14:paraId="1F049A1E" w14:textId="1A4018E3" w:rsidR="001569C6" w:rsidRPr="00CE5519" w:rsidRDefault="001569C6"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12072, 12074</w:t>
            </w:r>
          </w:p>
        </w:tc>
      </w:tr>
      <w:tr w:rsidR="001569C6" w:rsidRPr="00CE5519" w14:paraId="25DEB904"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24AAC1D3" w14:textId="28077EEE" w:rsidR="001569C6" w:rsidRPr="00CE5519" w:rsidRDefault="001569C6" w:rsidP="00CE5519">
            <w:pPr>
              <w:numPr>
                <w:ilvl w:val="0"/>
                <w:numId w:val="0"/>
              </w:numPr>
              <w:ind w:left="360"/>
              <w:rPr>
                <w:b w:val="0"/>
                <w:bCs w:val="0"/>
                <w:sz w:val="18"/>
                <w:szCs w:val="18"/>
              </w:rPr>
            </w:pPr>
            <w:r w:rsidRPr="00CE5519">
              <w:rPr>
                <w:b w:val="0"/>
                <w:bCs w:val="0"/>
                <w:sz w:val="18"/>
                <w:szCs w:val="18"/>
              </w:rPr>
              <w:t>Non-Hodgkin’s Lymphoma (NHL, B-cell)</w:t>
            </w:r>
          </w:p>
        </w:tc>
        <w:tc>
          <w:tcPr>
            <w:tcW w:w="3038" w:type="dxa"/>
            <w:vAlign w:val="center"/>
          </w:tcPr>
          <w:p w14:paraId="45DA7E90" w14:textId="5CB1D2B8" w:rsidR="001569C6" w:rsidRPr="00CE5519" w:rsidRDefault="00B929E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Lenalidomide and rituximab</w:t>
            </w:r>
          </w:p>
        </w:tc>
        <w:tc>
          <w:tcPr>
            <w:tcW w:w="4085" w:type="dxa"/>
            <w:vAlign w:val="center"/>
          </w:tcPr>
          <w:p w14:paraId="6A363C04" w14:textId="32AE3DD5"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NCCN citation recommends dosing lenalidomide based on maximum tolerable dose; we assumed a daily dose of 25 mg</w:t>
            </w:r>
          </w:p>
        </w:tc>
        <w:tc>
          <w:tcPr>
            <w:tcW w:w="4230" w:type="dxa"/>
            <w:vAlign w:val="center"/>
          </w:tcPr>
          <w:p w14:paraId="3DA96043" w14:textId="2222183B" w:rsidR="001569C6" w:rsidRPr="00CE5519" w:rsidRDefault="001569C6"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12085</w:t>
            </w:r>
          </w:p>
        </w:tc>
      </w:tr>
      <w:tr w:rsidR="001569C6" w:rsidRPr="00CE5519" w14:paraId="66686A87"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6C6C9DA6" w14:textId="11085BDD" w:rsidR="001569C6" w:rsidRPr="00CE5519" w:rsidRDefault="001569C6" w:rsidP="00CE5519">
            <w:pPr>
              <w:numPr>
                <w:ilvl w:val="0"/>
                <w:numId w:val="0"/>
              </w:numPr>
              <w:ind w:left="360"/>
              <w:rPr>
                <w:b w:val="0"/>
                <w:bCs w:val="0"/>
                <w:sz w:val="18"/>
                <w:szCs w:val="18"/>
              </w:rPr>
            </w:pPr>
            <w:r w:rsidRPr="00CE5519">
              <w:rPr>
                <w:b w:val="0"/>
                <w:bCs w:val="0"/>
                <w:sz w:val="18"/>
                <w:szCs w:val="18"/>
              </w:rPr>
              <w:t>Non-Hodgkin’s Lymphoma (NHL, B-cell)</w:t>
            </w:r>
          </w:p>
        </w:tc>
        <w:tc>
          <w:tcPr>
            <w:tcW w:w="3038" w:type="dxa"/>
            <w:vAlign w:val="center"/>
          </w:tcPr>
          <w:p w14:paraId="1DE8E949" w14:textId="7CC5A65D" w:rsidR="001569C6" w:rsidRPr="00CE5519" w:rsidRDefault="00DE5984"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Chlorambucil and rituximab</w:t>
            </w:r>
          </w:p>
        </w:tc>
        <w:tc>
          <w:tcPr>
            <w:tcW w:w="4085" w:type="dxa"/>
            <w:vAlign w:val="center"/>
          </w:tcPr>
          <w:p w14:paraId="0B4A524A" w14:textId="38797227" w:rsidR="001569C6" w:rsidRPr="00CE5519" w:rsidRDefault="000C3E08"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Dosed per</w:t>
            </w:r>
            <w:r w:rsidR="001569C6" w:rsidRPr="00CE5519">
              <w:rPr>
                <w:sz w:val="18"/>
                <w:szCs w:val="18"/>
              </w:rPr>
              <w:t>: https://www.ncbi.nlm.nih.gov/pubmed/25047267</w:t>
            </w:r>
          </w:p>
        </w:tc>
        <w:tc>
          <w:tcPr>
            <w:tcW w:w="4230" w:type="dxa"/>
            <w:vAlign w:val="center"/>
          </w:tcPr>
          <w:p w14:paraId="3D43A046" w14:textId="016DED83" w:rsidR="001569C6" w:rsidRPr="00CE5519" w:rsidRDefault="00DE5984"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12027, 12037, 12060</w:t>
            </w:r>
          </w:p>
        </w:tc>
      </w:tr>
      <w:tr w:rsidR="001569C6" w:rsidRPr="00CE5519" w14:paraId="65AC5D87"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4ECBB9B9" w14:textId="3925D868" w:rsidR="001569C6" w:rsidRPr="00CE5519" w:rsidRDefault="001569C6" w:rsidP="00CE5519">
            <w:pPr>
              <w:numPr>
                <w:ilvl w:val="0"/>
                <w:numId w:val="0"/>
              </w:numPr>
              <w:ind w:left="360"/>
              <w:rPr>
                <w:b w:val="0"/>
                <w:bCs w:val="0"/>
                <w:sz w:val="18"/>
                <w:szCs w:val="18"/>
              </w:rPr>
            </w:pPr>
            <w:r w:rsidRPr="00CE5519">
              <w:rPr>
                <w:b w:val="0"/>
                <w:bCs w:val="0"/>
                <w:sz w:val="18"/>
                <w:szCs w:val="18"/>
              </w:rPr>
              <w:t>Non-Hodgkin’s Lymphoma (NHL, B-cell)</w:t>
            </w:r>
          </w:p>
        </w:tc>
        <w:tc>
          <w:tcPr>
            <w:tcW w:w="3038" w:type="dxa"/>
            <w:vAlign w:val="center"/>
          </w:tcPr>
          <w:p w14:paraId="78A0D1A2" w14:textId="3794FA9A" w:rsidR="001569C6" w:rsidRPr="00CE5519" w:rsidRDefault="00DE5984"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Ibritumomab </w:t>
            </w:r>
            <w:proofErr w:type="spellStart"/>
            <w:r w:rsidRPr="00CE5519">
              <w:rPr>
                <w:sz w:val="18"/>
                <w:szCs w:val="18"/>
              </w:rPr>
              <w:t>tiuxetan</w:t>
            </w:r>
            <w:proofErr w:type="spellEnd"/>
          </w:p>
        </w:tc>
        <w:tc>
          <w:tcPr>
            <w:tcW w:w="4085" w:type="dxa"/>
            <w:vAlign w:val="center"/>
          </w:tcPr>
          <w:p w14:paraId="4C97357A" w14:textId="2A7D5D2A" w:rsidR="001569C6" w:rsidRPr="00CE5519" w:rsidRDefault="000C3E08"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w:t>
            </w:r>
            <w:r w:rsidR="001569C6" w:rsidRPr="00CE5519">
              <w:rPr>
                <w:sz w:val="18"/>
                <w:szCs w:val="18"/>
              </w:rPr>
              <w:t>e assumed that patients had normal platelet levels and so could receive full dose.</w:t>
            </w:r>
          </w:p>
        </w:tc>
        <w:tc>
          <w:tcPr>
            <w:tcW w:w="4230" w:type="dxa"/>
            <w:vAlign w:val="center"/>
          </w:tcPr>
          <w:p w14:paraId="5FEB6C73" w14:textId="77E3C482" w:rsidR="001569C6" w:rsidRPr="00CE5519" w:rsidRDefault="000E09FA"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r>
      <w:tr w:rsidR="001569C6" w:rsidRPr="00CE5519" w14:paraId="18BB1A68"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208CF782" w14:textId="23D6D3CC" w:rsidR="001569C6" w:rsidRPr="00CE5519" w:rsidRDefault="001569C6" w:rsidP="00CE5519">
            <w:pPr>
              <w:numPr>
                <w:ilvl w:val="0"/>
                <w:numId w:val="0"/>
              </w:numPr>
              <w:ind w:left="360"/>
              <w:rPr>
                <w:b w:val="0"/>
                <w:bCs w:val="0"/>
                <w:sz w:val="18"/>
                <w:szCs w:val="18"/>
              </w:rPr>
            </w:pPr>
            <w:r w:rsidRPr="00CE5519">
              <w:rPr>
                <w:b w:val="0"/>
                <w:bCs w:val="0"/>
                <w:sz w:val="18"/>
                <w:szCs w:val="18"/>
              </w:rPr>
              <w:t>Non-Hodgkin’s Lymphoma (NHL, B-cell)</w:t>
            </w:r>
          </w:p>
        </w:tc>
        <w:tc>
          <w:tcPr>
            <w:tcW w:w="3038" w:type="dxa"/>
            <w:vAlign w:val="center"/>
          </w:tcPr>
          <w:p w14:paraId="5B000C8B" w14:textId="6AD9F3F4" w:rsidR="001569C6" w:rsidRPr="00CE5519" w:rsidRDefault="003D64E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Cyclophosphamide and rituximab</w:t>
            </w:r>
          </w:p>
        </w:tc>
        <w:tc>
          <w:tcPr>
            <w:tcW w:w="4085" w:type="dxa"/>
            <w:vAlign w:val="center"/>
          </w:tcPr>
          <w:p w14:paraId="2BEE13ED" w14:textId="03880A8F"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dosing of cyclophosphamide + rituximab, we based dosing on the FCR regimen, sans fludarabine</w:t>
            </w:r>
          </w:p>
        </w:tc>
        <w:tc>
          <w:tcPr>
            <w:tcW w:w="4230" w:type="dxa"/>
            <w:vAlign w:val="center"/>
          </w:tcPr>
          <w:p w14:paraId="677F465C" w14:textId="77F6A250" w:rsidR="001569C6" w:rsidRPr="00CE5519" w:rsidRDefault="000E09FA"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r>
      <w:tr w:rsidR="001569C6" w:rsidRPr="00CE5519" w14:paraId="627E069E"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5CF0B93C" w14:textId="1509D470" w:rsidR="001569C6" w:rsidRPr="00CE5519" w:rsidRDefault="001569C6" w:rsidP="00CE5519">
            <w:pPr>
              <w:numPr>
                <w:ilvl w:val="0"/>
                <w:numId w:val="0"/>
              </w:numPr>
              <w:ind w:left="360"/>
              <w:rPr>
                <w:b w:val="0"/>
                <w:bCs w:val="0"/>
                <w:sz w:val="18"/>
                <w:szCs w:val="18"/>
              </w:rPr>
            </w:pPr>
            <w:r w:rsidRPr="00CE5519">
              <w:rPr>
                <w:b w:val="0"/>
                <w:bCs w:val="0"/>
                <w:sz w:val="18"/>
                <w:szCs w:val="18"/>
              </w:rPr>
              <w:t>Non-Hodgkin’s Lymphoma (NHL, B-cell)</w:t>
            </w:r>
          </w:p>
        </w:tc>
        <w:tc>
          <w:tcPr>
            <w:tcW w:w="3038" w:type="dxa"/>
            <w:vAlign w:val="center"/>
          </w:tcPr>
          <w:p w14:paraId="19FF0825" w14:textId="380D627F" w:rsidR="001569C6" w:rsidRPr="00CE5519" w:rsidRDefault="003D64E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R-hyper-CVAD</w:t>
            </w:r>
          </w:p>
        </w:tc>
        <w:tc>
          <w:tcPr>
            <w:tcW w:w="4085" w:type="dxa"/>
            <w:vAlign w:val="center"/>
          </w:tcPr>
          <w:p w14:paraId="67E822A5" w14:textId="352780EA"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For r-hyper-CVAD, we assumed the maximum number of doses for Leucovorin, and did not include the intrathecal chemotherapy component</w:t>
            </w:r>
          </w:p>
        </w:tc>
        <w:tc>
          <w:tcPr>
            <w:tcW w:w="4230" w:type="dxa"/>
            <w:vAlign w:val="center"/>
          </w:tcPr>
          <w:p w14:paraId="4F85FE6A" w14:textId="19FA39E4" w:rsidR="001569C6" w:rsidRPr="00CE5519" w:rsidRDefault="00806A8B"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12071, 12078</w:t>
            </w:r>
          </w:p>
        </w:tc>
      </w:tr>
      <w:tr w:rsidR="001569C6" w:rsidRPr="00CE5519" w14:paraId="66006310"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17D0BAA3" w14:textId="47895BA3" w:rsidR="001569C6" w:rsidRPr="00CE5519" w:rsidRDefault="001569C6" w:rsidP="00CE5519">
            <w:pPr>
              <w:numPr>
                <w:ilvl w:val="0"/>
                <w:numId w:val="0"/>
              </w:numPr>
              <w:ind w:left="360"/>
              <w:rPr>
                <w:b w:val="0"/>
                <w:bCs w:val="0"/>
                <w:sz w:val="18"/>
                <w:szCs w:val="18"/>
              </w:rPr>
            </w:pPr>
            <w:r w:rsidRPr="00CE5519">
              <w:rPr>
                <w:b w:val="0"/>
                <w:bCs w:val="0"/>
                <w:sz w:val="18"/>
                <w:szCs w:val="18"/>
              </w:rPr>
              <w:t>Non-Hodgkin’s Lymphoma (NHL, B-cell)</w:t>
            </w:r>
          </w:p>
        </w:tc>
        <w:tc>
          <w:tcPr>
            <w:tcW w:w="3038" w:type="dxa"/>
            <w:vAlign w:val="center"/>
          </w:tcPr>
          <w:p w14:paraId="3D94AD85" w14:textId="266BDBD1" w:rsidR="001569C6" w:rsidRPr="00CE5519" w:rsidRDefault="000C3E08"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c>
          <w:tcPr>
            <w:tcW w:w="4085" w:type="dxa"/>
            <w:vAlign w:val="center"/>
          </w:tcPr>
          <w:p w14:paraId="0BD1AAE6" w14:textId="6186DB09"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Follicular lymphoma, grade I-II, elderly or infirm, stage I-II We assigned consensus category of 2B to regimens of chemotherapy + ISRT, because the NCCN-specified 2B designation seems to be in reference to the addition of ISRT, rather than the systemic therapy agents selected (reference: slide 8, B-cell 4.2019)</w:t>
            </w:r>
          </w:p>
        </w:tc>
        <w:tc>
          <w:tcPr>
            <w:tcW w:w="4230" w:type="dxa"/>
            <w:vAlign w:val="center"/>
          </w:tcPr>
          <w:p w14:paraId="0595FC65" w14:textId="4CF81D73" w:rsidR="001569C6" w:rsidRPr="00CE5519" w:rsidRDefault="000E09FA"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r>
      <w:tr w:rsidR="001569C6" w:rsidRPr="00CE5519" w14:paraId="1CD38DB1"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37E55BBE" w14:textId="77ACAE72" w:rsidR="001569C6" w:rsidRPr="00CE5519" w:rsidRDefault="001569C6" w:rsidP="00CE5519">
            <w:pPr>
              <w:numPr>
                <w:ilvl w:val="0"/>
                <w:numId w:val="0"/>
              </w:numPr>
              <w:ind w:left="360"/>
              <w:rPr>
                <w:b w:val="0"/>
                <w:bCs w:val="0"/>
                <w:sz w:val="18"/>
                <w:szCs w:val="18"/>
              </w:rPr>
            </w:pPr>
            <w:r w:rsidRPr="00CE5519">
              <w:rPr>
                <w:b w:val="0"/>
                <w:bCs w:val="0"/>
                <w:sz w:val="18"/>
                <w:szCs w:val="18"/>
              </w:rPr>
              <w:t>Non-Small Cell Lung (NSCL)</w:t>
            </w:r>
          </w:p>
        </w:tc>
        <w:tc>
          <w:tcPr>
            <w:tcW w:w="3038" w:type="dxa"/>
            <w:vAlign w:val="center"/>
          </w:tcPr>
          <w:p w14:paraId="74FD5652" w14:textId="12DCA650" w:rsidR="001569C6" w:rsidRPr="00CE5519" w:rsidRDefault="000C3E08"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c>
          <w:tcPr>
            <w:tcW w:w="4085" w:type="dxa"/>
            <w:vAlign w:val="center"/>
          </w:tcPr>
          <w:p w14:paraId="35E580E0" w14:textId="36AD40D4"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For initial cytotoxic therapy for advanced disease, given 4-6 cycles, we assumed 6 cycles.</w:t>
            </w:r>
          </w:p>
        </w:tc>
        <w:tc>
          <w:tcPr>
            <w:tcW w:w="4230" w:type="dxa"/>
            <w:vAlign w:val="center"/>
          </w:tcPr>
          <w:p w14:paraId="408DD93B" w14:textId="658EA522" w:rsidR="001569C6" w:rsidRPr="00CE5519" w:rsidRDefault="000E09FA"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r>
      <w:tr w:rsidR="001569C6" w:rsidRPr="00CE5519" w14:paraId="6CEA8B8B"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7AEF904C" w14:textId="2F9CD0C5" w:rsidR="001569C6" w:rsidRPr="00CE5519" w:rsidRDefault="001569C6" w:rsidP="00CE5519">
            <w:pPr>
              <w:numPr>
                <w:ilvl w:val="0"/>
                <w:numId w:val="0"/>
              </w:numPr>
              <w:ind w:left="360"/>
              <w:rPr>
                <w:b w:val="0"/>
                <w:bCs w:val="0"/>
                <w:sz w:val="18"/>
                <w:szCs w:val="18"/>
              </w:rPr>
            </w:pPr>
            <w:r w:rsidRPr="00CE5519">
              <w:rPr>
                <w:b w:val="0"/>
                <w:bCs w:val="0"/>
                <w:sz w:val="18"/>
                <w:szCs w:val="18"/>
              </w:rPr>
              <w:t>Non-Small Cell Lung (NSCL)</w:t>
            </w:r>
          </w:p>
        </w:tc>
        <w:tc>
          <w:tcPr>
            <w:tcW w:w="3038" w:type="dxa"/>
            <w:vAlign w:val="center"/>
          </w:tcPr>
          <w:p w14:paraId="537F9B02" w14:textId="450B65C5" w:rsidR="001569C6" w:rsidRPr="00CE5519" w:rsidRDefault="000C3E08"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c>
          <w:tcPr>
            <w:tcW w:w="4085" w:type="dxa"/>
            <w:vAlign w:val="center"/>
          </w:tcPr>
          <w:p w14:paraId="616A8F0A" w14:textId="4961B938"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initial cytotoxic therapy for advanced disease, we limited to 4 cycles where specified on the drug label (</w:t>
            </w:r>
            <w:proofErr w:type="spellStart"/>
            <w:r w:rsidRPr="00CE5519">
              <w:rPr>
                <w:sz w:val="18"/>
                <w:szCs w:val="18"/>
              </w:rPr>
              <w:t>eg.</w:t>
            </w:r>
            <w:proofErr w:type="spellEnd"/>
            <w:r w:rsidRPr="00CE5519">
              <w:rPr>
                <w:sz w:val="18"/>
                <w:szCs w:val="18"/>
              </w:rPr>
              <w:t xml:space="preserve">, </w:t>
            </w:r>
            <w:proofErr w:type="spellStart"/>
            <w:r w:rsidRPr="00CE5519">
              <w:rPr>
                <w:sz w:val="18"/>
                <w:szCs w:val="18"/>
              </w:rPr>
              <w:t>carbo</w:t>
            </w:r>
            <w:r w:rsidR="000C3E08" w:rsidRPr="00CE5519">
              <w:rPr>
                <w:sz w:val="18"/>
                <w:szCs w:val="18"/>
              </w:rPr>
              <w:t>platin</w:t>
            </w:r>
            <w:r w:rsidRPr="00CE5519">
              <w:rPr>
                <w:sz w:val="18"/>
                <w:szCs w:val="18"/>
              </w:rPr>
              <w:t>+pem</w:t>
            </w:r>
            <w:r w:rsidR="000C3E08" w:rsidRPr="00CE5519">
              <w:rPr>
                <w:sz w:val="18"/>
                <w:szCs w:val="18"/>
              </w:rPr>
              <w:t>brolizumab</w:t>
            </w:r>
            <w:r w:rsidRPr="00CE5519">
              <w:rPr>
                <w:sz w:val="18"/>
                <w:szCs w:val="18"/>
              </w:rPr>
              <w:t>+bev</w:t>
            </w:r>
            <w:r w:rsidR="000C3E08" w:rsidRPr="00CE5519">
              <w:rPr>
                <w:sz w:val="18"/>
                <w:szCs w:val="18"/>
              </w:rPr>
              <w:t>acizumab</w:t>
            </w:r>
            <w:proofErr w:type="spellEnd"/>
            <w:r w:rsidRPr="00CE5519">
              <w:rPr>
                <w:sz w:val="18"/>
                <w:szCs w:val="18"/>
              </w:rPr>
              <w:t>)</w:t>
            </w:r>
          </w:p>
        </w:tc>
        <w:tc>
          <w:tcPr>
            <w:tcW w:w="4230" w:type="dxa"/>
            <w:vAlign w:val="center"/>
          </w:tcPr>
          <w:p w14:paraId="4FFE6160" w14:textId="2C61F9D2" w:rsidR="001569C6" w:rsidRPr="00CE5519" w:rsidRDefault="000E09FA"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r>
      <w:tr w:rsidR="006D0426" w:rsidRPr="00CE5519" w14:paraId="3F427F9B"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7F69353C" w14:textId="36B6A74E" w:rsidR="006D0426" w:rsidRPr="00CE5519" w:rsidRDefault="006D0426" w:rsidP="00CE5519">
            <w:pPr>
              <w:numPr>
                <w:ilvl w:val="0"/>
                <w:numId w:val="0"/>
              </w:numPr>
              <w:ind w:left="360"/>
              <w:rPr>
                <w:b w:val="0"/>
                <w:bCs w:val="0"/>
                <w:sz w:val="18"/>
                <w:szCs w:val="18"/>
              </w:rPr>
            </w:pPr>
            <w:r w:rsidRPr="00CE5519">
              <w:rPr>
                <w:b w:val="0"/>
                <w:bCs w:val="0"/>
                <w:sz w:val="18"/>
                <w:szCs w:val="18"/>
              </w:rPr>
              <w:lastRenderedPageBreak/>
              <w:t>Non-Small Cell Lung (NSCL)</w:t>
            </w:r>
          </w:p>
        </w:tc>
        <w:tc>
          <w:tcPr>
            <w:tcW w:w="3038" w:type="dxa"/>
            <w:vAlign w:val="center"/>
          </w:tcPr>
          <w:p w14:paraId="022C2A53" w14:textId="20F931EC" w:rsidR="006D0426" w:rsidRPr="00CE5519" w:rsidRDefault="006D042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Paclitaxel, carboplatin, and thoracic RT</w:t>
            </w:r>
          </w:p>
        </w:tc>
        <w:tc>
          <w:tcPr>
            <w:tcW w:w="4085" w:type="dxa"/>
            <w:vAlign w:val="center"/>
          </w:tcPr>
          <w:p w14:paraId="73605870" w14:textId="6CE7855A" w:rsidR="006D0426" w:rsidRPr="00CE5519" w:rsidRDefault="006D042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This regimen has two versions. One as written in the previous column and one with </w:t>
            </w:r>
            <w:r w:rsidR="0057279F" w:rsidRPr="00CE5519">
              <w:rPr>
                <w:sz w:val="18"/>
                <w:szCs w:val="18"/>
              </w:rPr>
              <w:t>additional cycles of paclitaxel and carboplatin. For regimens without additional cycles, anti-emetic risk is low with 6 anti-emetic doses. GCSF risk is low with no doses. For regimens with additional cycles, anti-emetic risk is intermediate with 8 doses. GCSF is intermediate risk with 2 doses.</w:t>
            </w:r>
          </w:p>
        </w:tc>
        <w:tc>
          <w:tcPr>
            <w:tcW w:w="4230" w:type="dxa"/>
            <w:vAlign w:val="center"/>
          </w:tcPr>
          <w:p w14:paraId="522DB9EC" w14:textId="77777777" w:rsidR="006D0426" w:rsidRPr="00CE5519" w:rsidRDefault="006D0426"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1569C6" w:rsidRPr="00CE5519" w14:paraId="6CCC5847"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52479014" w14:textId="0FD2331F" w:rsidR="001569C6" w:rsidRPr="00CE5519" w:rsidRDefault="001569C6" w:rsidP="00CE5519">
            <w:pPr>
              <w:numPr>
                <w:ilvl w:val="0"/>
                <w:numId w:val="0"/>
              </w:numPr>
              <w:ind w:left="360"/>
              <w:rPr>
                <w:b w:val="0"/>
                <w:bCs w:val="0"/>
                <w:sz w:val="18"/>
                <w:szCs w:val="18"/>
              </w:rPr>
            </w:pPr>
            <w:r w:rsidRPr="00CE5519">
              <w:rPr>
                <w:b w:val="0"/>
                <w:bCs w:val="0"/>
                <w:sz w:val="18"/>
                <w:szCs w:val="18"/>
              </w:rPr>
              <w:t>Ovarian</w:t>
            </w:r>
          </w:p>
        </w:tc>
        <w:tc>
          <w:tcPr>
            <w:tcW w:w="3038" w:type="dxa"/>
            <w:vAlign w:val="center"/>
          </w:tcPr>
          <w:p w14:paraId="1E6F3D7D" w14:textId="51D329FC" w:rsidR="001569C6" w:rsidRPr="00CE5519" w:rsidRDefault="001E102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Bevacizumab maintenance therapy</w:t>
            </w:r>
          </w:p>
        </w:tc>
        <w:tc>
          <w:tcPr>
            <w:tcW w:w="4085" w:type="dxa"/>
            <w:vAlign w:val="center"/>
          </w:tcPr>
          <w:p w14:paraId="2C969F4E" w14:textId="0DFFF758"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As an exception to our standard procedures for maintenance therapies, we included maintenance bevacizumab as part of the first-line regimen, because the maintenance bevacizumab period is included in both the GOG and ICON-7 regimens</w:t>
            </w:r>
          </w:p>
        </w:tc>
        <w:tc>
          <w:tcPr>
            <w:tcW w:w="4230" w:type="dxa"/>
            <w:vAlign w:val="center"/>
          </w:tcPr>
          <w:p w14:paraId="296A4456" w14:textId="3F1601E2" w:rsidR="001569C6" w:rsidRPr="00CE5519" w:rsidRDefault="001E1026"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29049</w:t>
            </w:r>
          </w:p>
        </w:tc>
      </w:tr>
      <w:tr w:rsidR="001569C6" w:rsidRPr="00CE5519" w14:paraId="404C4982"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76638F1B" w14:textId="2FC09E98" w:rsidR="001569C6" w:rsidRPr="00CE5519" w:rsidRDefault="001569C6" w:rsidP="00CE5519">
            <w:pPr>
              <w:numPr>
                <w:ilvl w:val="0"/>
                <w:numId w:val="0"/>
              </w:numPr>
              <w:ind w:left="360"/>
              <w:rPr>
                <w:b w:val="0"/>
                <w:bCs w:val="0"/>
                <w:sz w:val="18"/>
                <w:szCs w:val="18"/>
              </w:rPr>
            </w:pPr>
            <w:r w:rsidRPr="00CE5519">
              <w:rPr>
                <w:b w:val="0"/>
                <w:bCs w:val="0"/>
                <w:sz w:val="18"/>
                <w:szCs w:val="18"/>
              </w:rPr>
              <w:t>Ovarian</w:t>
            </w:r>
          </w:p>
        </w:tc>
        <w:tc>
          <w:tcPr>
            <w:tcW w:w="3038" w:type="dxa"/>
            <w:vAlign w:val="center"/>
          </w:tcPr>
          <w:p w14:paraId="6475EDA0" w14:textId="614C1AE5" w:rsidR="001569C6" w:rsidRPr="00CE5519" w:rsidRDefault="000C3E08"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c>
          <w:tcPr>
            <w:tcW w:w="4085" w:type="dxa"/>
            <w:vAlign w:val="center"/>
          </w:tcPr>
          <w:p w14:paraId="1B2A05D8" w14:textId="1A22C22E"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Progressive, stable, or persistent high-grade serous disease on primary systemic therapy. In some </w:t>
            </w:r>
            <w:r w:rsidR="00725EBD" w:rsidRPr="00CE5519">
              <w:rPr>
                <w:sz w:val="18"/>
                <w:szCs w:val="18"/>
              </w:rPr>
              <w:t>cases,</w:t>
            </w:r>
            <w:r w:rsidRPr="00CE5519">
              <w:rPr>
                <w:sz w:val="18"/>
                <w:szCs w:val="18"/>
              </w:rPr>
              <w:t xml:space="preserve"> the evidence &amp; consensus categories were ambiguous; we assigned the consensus categories for platinum-resistant disease indication (reference: slide </w:t>
            </w:r>
            <w:r w:rsidR="000E09FA" w:rsidRPr="00CE5519">
              <w:rPr>
                <w:sz w:val="18"/>
                <w:szCs w:val="18"/>
              </w:rPr>
              <w:t xml:space="preserve">47, </w:t>
            </w:r>
            <w:r w:rsidRPr="00CE5519">
              <w:rPr>
                <w:sz w:val="18"/>
                <w:szCs w:val="18"/>
              </w:rPr>
              <w:t>edition 1.2019)</w:t>
            </w:r>
          </w:p>
        </w:tc>
        <w:tc>
          <w:tcPr>
            <w:tcW w:w="4230" w:type="dxa"/>
            <w:vAlign w:val="center"/>
          </w:tcPr>
          <w:p w14:paraId="362EE678" w14:textId="1EFE90CC" w:rsidR="001569C6" w:rsidRPr="00CE5519" w:rsidRDefault="000E09FA"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r>
      <w:tr w:rsidR="001569C6" w:rsidRPr="00CE5519" w14:paraId="67551936"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49ACD7BE" w14:textId="56A5F229" w:rsidR="001569C6" w:rsidRPr="00CE5519" w:rsidRDefault="001569C6" w:rsidP="00CE5519">
            <w:pPr>
              <w:numPr>
                <w:ilvl w:val="0"/>
                <w:numId w:val="0"/>
              </w:numPr>
              <w:ind w:left="360"/>
              <w:rPr>
                <w:b w:val="0"/>
                <w:bCs w:val="0"/>
                <w:sz w:val="18"/>
                <w:szCs w:val="18"/>
              </w:rPr>
            </w:pPr>
            <w:r w:rsidRPr="00CE5519">
              <w:rPr>
                <w:b w:val="0"/>
                <w:bCs w:val="0"/>
                <w:sz w:val="18"/>
                <w:szCs w:val="18"/>
              </w:rPr>
              <w:t>Ovarian</w:t>
            </w:r>
          </w:p>
        </w:tc>
        <w:tc>
          <w:tcPr>
            <w:tcW w:w="3038" w:type="dxa"/>
            <w:vAlign w:val="center"/>
          </w:tcPr>
          <w:p w14:paraId="06DD73DC" w14:textId="4A7479BC" w:rsidR="001569C6" w:rsidRPr="00CE5519" w:rsidRDefault="006F2EF5"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CE5519">
              <w:rPr>
                <w:sz w:val="18"/>
                <w:szCs w:val="18"/>
              </w:rPr>
              <w:t>Ifosfamide</w:t>
            </w:r>
            <w:proofErr w:type="spellEnd"/>
          </w:p>
        </w:tc>
        <w:tc>
          <w:tcPr>
            <w:tcW w:w="4085" w:type="dxa"/>
            <w:vAlign w:val="center"/>
          </w:tcPr>
          <w:p w14:paraId="78B27E9C" w14:textId="3748043C"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Frequency of </w:t>
            </w:r>
            <w:proofErr w:type="spellStart"/>
            <w:r w:rsidRPr="00CE5519">
              <w:rPr>
                <w:sz w:val="18"/>
                <w:szCs w:val="18"/>
              </w:rPr>
              <w:t>mesna</w:t>
            </w:r>
            <w:proofErr w:type="spellEnd"/>
            <w:r w:rsidRPr="00CE5519">
              <w:rPr>
                <w:sz w:val="18"/>
                <w:szCs w:val="18"/>
              </w:rPr>
              <w:t xml:space="preserve"> administration for regimens with </w:t>
            </w:r>
            <w:proofErr w:type="spellStart"/>
            <w:r w:rsidRPr="00CE5519">
              <w:rPr>
                <w:sz w:val="18"/>
                <w:szCs w:val="18"/>
              </w:rPr>
              <w:t>ifosfamide</w:t>
            </w:r>
            <w:proofErr w:type="spellEnd"/>
            <w:r w:rsidRPr="00CE5519">
              <w:rPr>
                <w:sz w:val="18"/>
                <w:szCs w:val="18"/>
              </w:rPr>
              <w:t xml:space="preserve"> was inferred from similar regimens in uterine and cervical cancer</w:t>
            </w:r>
          </w:p>
        </w:tc>
        <w:tc>
          <w:tcPr>
            <w:tcW w:w="4230" w:type="dxa"/>
            <w:vAlign w:val="center"/>
          </w:tcPr>
          <w:p w14:paraId="72B00FA5" w14:textId="32936DB6" w:rsidR="001569C6" w:rsidRPr="00CE5519" w:rsidRDefault="006F2EF5"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29081, 29116, 29152, 29183</w:t>
            </w:r>
          </w:p>
        </w:tc>
      </w:tr>
      <w:tr w:rsidR="001569C6" w:rsidRPr="00CE5519" w14:paraId="74E33E83"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46B51897" w14:textId="60D73681" w:rsidR="001569C6" w:rsidRPr="00CE5519" w:rsidRDefault="001569C6" w:rsidP="00CE5519">
            <w:pPr>
              <w:numPr>
                <w:ilvl w:val="0"/>
                <w:numId w:val="0"/>
              </w:numPr>
              <w:ind w:left="360"/>
              <w:rPr>
                <w:b w:val="0"/>
                <w:bCs w:val="0"/>
                <w:sz w:val="18"/>
                <w:szCs w:val="18"/>
              </w:rPr>
            </w:pPr>
            <w:r w:rsidRPr="00CE5519">
              <w:rPr>
                <w:b w:val="0"/>
                <w:bCs w:val="0"/>
                <w:sz w:val="18"/>
                <w:szCs w:val="18"/>
              </w:rPr>
              <w:t>Pancreas</w:t>
            </w:r>
          </w:p>
        </w:tc>
        <w:tc>
          <w:tcPr>
            <w:tcW w:w="3038" w:type="dxa"/>
            <w:vAlign w:val="center"/>
          </w:tcPr>
          <w:p w14:paraId="2C7D28E1" w14:textId="5CE4A8EC" w:rsidR="001569C6" w:rsidRPr="00CE5519" w:rsidRDefault="006F2EF5"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c>
          <w:tcPr>
            <w:tcW w:w="4085" w:type="dxa"/>
            <w:vAlign w:val="center"/>
          </w:tcPr>
          <w:p w14:paraId="58961947" w14:textId="45F610BB"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For adjuvant therapy, we inferred dosing of single</w:t>
            </w:r>
            <w:r w:rsidR="00725EBD" w:rsidRPr="00CE5519">
              <w:rPr>
                <w:sz w:val="18"/>
                <w:szCs w:val="18"/>
              </w:rPr>
              <w:t xml:space="preserve"> </w:t>
            </w:r>
            <w:r w:rsidRPr="00CE5519">
              <w:rPr>
                <w:sz w:val="18"/>
                <w:szCs w:val="18"/>
              </w:rPr>
              <w:t xml:space="preserve">agent capecitabine from </w:t>
            </w:r>
            <w:proofErr w:type="spellStart"/>
            <w:r w:rsidRPr="00CE5519">
              <w:rPr>
                <w:sz w:val="18"/>
                <w:szCs w:val="18"/>
              </w:rPr>
              <w:t>gemcitabine+capecitabine</w:t>
            </w:r>
            <w:proofErr w:type="spellEnd"/>
            <w:r w:rsidRPr="00CE5519">
              <w:rPr>
                <w:sz w:val="18"/>
                <w:szCs w:val="18"/>
              </w:rPr>
              <w:t>, sans gemcitabine.</w:t>
            </w:r>
          </w:p>
        </w:tc>
        <w:tc>
          <w:tcPr>
            <w:tcW w:w="4230" w:type="dxa"/>
            <w:vAlign w:val="center"/>
          </w:tcPr>
          <w:p w14:paraId="115494F5" w14:textId="1BC43E9E" w:rsidR="001569C6" w:rsidRPr="00CE5519" w:rsidRDefault="000E09FA"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r>
      <w:tr w:rsidR="001569C6" w:rsidRPr="00CE5519" w14:paraId="41E63EEE"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4CE21AAE" w14:textId="75C2A1AF" w:rsidR="001569C6" w:rsidRPr="00CE5519" w:rsidRDefault="001569C6" w:rsidP="00CE5519">
            <w:pPr>
              <w:numPr>
                <w:ilvl w:val="0"/>
                <w:numId w:val="0"/>
              </w:numPr>
              <w:ind w:left="360"/>
              <w:rPr>
                <w:b w:val="0"/>
                <w:bCs w:val="0"/>
                <w:sz w:val="18"/>
                <w:szCs w:val="18"/>
              </w:rPr>
            </w:pPr>
            <w:r w:rsidRPr="00CE5519">
              <w:rPr>
                <w:b w:val="0"/>
                <w:bCs w:val="0"/>
                <w:sz w:val="18"/>
                <w:szCs w:val="18"/>
              </w:rPr>
              <w:t>Pancreas</w:t>
            </w:r>
          </w:p>
        </w:tc>
        <w:tc>
          <w:tcPr>
            <w:tcW w:w="3038" w:type="dxa"/>
            <w:vAlign w:val="center"/>
          </w:tcPr>
          <w:p w14:paraId="19265F0D" w14:textId="48A69BA4" w:rsidR="001569C6" w:rsidRPr="00CE5519" w:rsidRDefault="00C50DD7"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Gemcitabine and cisplatin</w:t>
            </w:r>
          </w:p>
        </w:tc>
        <w:tc>
          <w:tcPr>
            <w:tcW w:w="4085" w:type="dxa"/>
            <w:vAlign w:val="center"/>
          </w:tcPr>
          <w:p w14:paraId="70194764" w14:textId="46C1B49B"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For </w:t>
            </w:r>
            <w:proofErr w:type="spellStart"/>
            <w:r w:rsidRPr="00CE5519">
              <w:rPr>
                <w:sz w:val="18"/>
                <w:szCs w:val="18"/>
              </w:rPr>
              <w:t>gemcitabine+cisplatin</w:t>
            </w:r>
            <w:proofErr w:type="spellEnd"/>
            <w:r w:rsidRPr="00CE5519">
              <w:rPr>
                <w:sz w:val="18"/>
                <w:szCs w:val="18"/>
              </w:rPr>
              <w:t>, a dosing schedule from UpToDate was used since there were no cited schedules for this regimen in NCCN.</w:t>
            </w:r>
          </w:p>
        </w:tc>
        <w:tc>
          <w:tcPr>
            <w:tcW w:w="4230" w:type="dxa"/>
            <w:vAlign w:val="center"/>
          </w:tcPr>
          <w:p w14:paraId="14D4C715" w14:textId="192A131D" w:rsidR="001569C6" w:rsidRPr="00CE5519" w:rsidRDefault="00C50DD7"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30071, 30072</w:t>
            </w:r>
          </w:p>
        </w:tc>
      </w:tr>
      <w:tr w:rsidR="001569C6" w:rsidRPr="00CE5519" w14:paraId="064AC683"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3909032F" w14:textId="103A65DE" w:rsidR="001569C6" w:rsidRPr="00CE5519" w:rsidRDefault="001569C6" w:rsidP="00CE5519">
            <w:pPr>
              <w:numPr>
                <w:ilvl w:val="0"/>
                <w:numId w:val="0"/>
              </w:numPr>
              <w:ind w:left="360"/>
              <w:rPr>
                <w:b w:val="0"/>
                <w:bCs w:val="0"/>
                <w:sz w:val="18"/>
                <w:szCs w:val="18"/>
              </w:rPr>
            </w:pPr>
            <w:r w:rsidRPr="00CE5519">
              <w:rPr>
                <w:b w:val="0"/>
                <w:bCs w:val="0"/>
                <w:sz w:val="18"/>
                <w:szCs w:val="18"/>
              </w:rPr>
              <w:t>Pancreas</w:t>
            </w:r>
          </w:p>
        </w:tc>
        <w:tc>
          <w:tcPr>
            <w:tcW w:w="3038" w:type="dxa"/>
            <w:vAlign w:val="center"/>
          </w:tcPr>
          <w:p w14:paraId="29CBE9EF" w14:textId="4566B1E7" w:rsidR="001569C6" w:rsidRPr="00CE5519" w:rsidRDefault="009E3611"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c>
          <w:tcPr>
            <w:tcW w:w="4085" w:type="dxa"/>
            <w:vAlign w:val="center"/>
          </w:tcPr>
          <w:p w14:paraId="0EDA30B9" w14:textId="617958CD"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For dosing of </w:t>
            </w:r>
            <w:proofErr w:type="spellStart"/>
            <w:r w:rsidR="00725EBD" w:rsidRPr="00CE5519">
              <w:rPr>
                <w:sz w:val="18"/>
                <w:szCs w:val="18"/>
              </w:rPr>
              <w:t>CapeOx</w:t>
            </w:r>
            <w:proofErr w:type="spellEnd"/>
            <w:r w:rsidRPr="00CE5519">
              <w:rPr>
                <w:sz w:val="18"/>
                <w:szCs w:val="18"/>
              </w:rPr>
              <w:t>, we assumed ECOG status of 0-1</w:t>
            </w:r>
          </w:p>
        </w:tc>
        <w:tc>
          <w:tcPr>
            <w:tcW w:w="4230" w:type="dxa"/>
            <w:vAlign w:val="center"/>
          </w:tcPr>
          <w:p w14:paraId="638BD3D7" w14:textId="504A6C6B" w:rsidR="001569C6" w:rsidRPr="00CE5519" w:rsidRDefault="000E09FA"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r>
      <w:tr w:rsidR="001569C6" w:rsidRPr="00CE5519" w14:paraId="43B1070A"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7DAE362D" w14:textId="0B4216EF" w:rsidR="001569C6" w:rsidRPr="00CE5519" w:rsidRDefault="001569C6" w:rsidP="00CE5519">
            <w:pPr>
              <w:numPr>
                <w:ilvl w:val="0"/>
                <w:numId w:val="0"/>
              </w:numPr>
              <w:ind w:left="360"/>
              <w:rPr>
                <w:b w:val="0"/>
                <w:bCs w:val="0"/>
                <w:sz w:val="18"/>
                <w:szCs w:val="18"/>
              </w:rPr>
            </w:pPr>
            <w:r w:rsidRPr="00CE5519">
              <w:rPr>
                <w:b w:val="0"/>
                <w:bCs w:val="0"/>
                <w:sz w:val="18"/>
                <w:szCs w:val="18"/>
              </w:rPr>
              <w:t>Pancre</w:t>
            </w:r>
            <w:r w:rsidR="00C50DD7" w:rsidRPr="00CE5519">
              <w:rPr>
                <w:b w:val="0"/>
                <w:bCs w:val="0"/>
                <w:sz w:val="18"/>
                <w:szCs w:val="18"/>
              </w:rPr>
              <w:t>as</w:t>
            </w:r>
          </w:p>
        </w:tc>
        <w:tc>
          <w:tcPr>
            <w:tcW w:w="3038" w:type="dxa"/>
            <w:vAlign w:val="center"/>
          </w:tcPr>
          <w:p w14:paraId="1F614B18" w14:textId="6BF47021" w:rsidR="001569C6" w:rsidRPr="00CE5519" w:rsidRDefault="0098481F"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Gemcitabine monotherapy</w:t>
            </w:r>
          </w:p>
        </w:tc>
        <w:tc>
          <w:tcPr>
            <w:tcW w:w="4085" w:type="dxa"/>
            <w:vAlign w:val="center"/>
          </w:tcPr>
          <w:p w14:paraId="728A9D2D" w14:textId="7FC4D2DD"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We inferred gemcitabine monotherapy dosing from combination regimens, and the duration (6 months) from other adjuvant recommendations</w:t>
            </w:r>
          </w:p>
        </w:tc>
        <w:tc>
          <w:tcPr>
            <w:tcW w:w="4230" w:type="dxa"/>
            <w:vAlign w:val="center"/>
          </w:tcPr>
          <w:p w14:paraId="4ABCAFCC" w14:textId="17B06BBB" w:rsidR="001569C6" w:rsidRPr="00CE5519" w:rsidRDefault="0098481F"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30003</w:t>
            </w:r>
            <w:r w:rsidR="006D234B" w:rsidRPr="00CE5519">
              <w:rPr>
                <w:sz w:val="18"/>
                <w:szCs w:val="18"/>
              </w:rPr>
              <w:t>, 30013, 30019, 30020, 30028, 30033, 30034, 30046</w:t>
            </w:r>
          </w:p>
        </w:tc>
      </w:tr>
      <w:tr w:rsidR="001569C6" w:rsidRPr="00CE5519" w14:paraId="790713C1"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7967F3FB" w14:textId="6237892A" w:rsidR="001569C6" w:rsidRPr="00CE5519" w:rsidRDefault="001569C6" w:rsidP="00CE5519">
            <w:pPr>
              <w:numPr>
                <w:ilvl w:val="0"/>
                <w:numId w:val="0"/>
              </w:numPr>
              <w:ind w:left="360"/>
              <w:rPr>
                <w:b w:val="0"/>
                <w:bCs w:val="0"/>
                <w:sz w:val="18"/>
                <w:szCs w:val="18"/>
              </w:rPr>
            </w:pPr>
            <w:r w:rsidRPr="00CE5519">
              <w:rPr>
                <w:b w:val="0"/>
                <w:bCs w:val="0"/>
                <w:sz w:val="18"/>
                <w:szCs w:val="18"/>
              </w:rPr>
              <w:t>Pancrea</w:t>
            </w:r>
            <w:r w:rsidR="00C50DD7" w:rsidRPr="00CE5519">
              <w:rPr>
                <w:b w:val="0"/>
                <w:bCs w:val="0"/>
                <w:sz w:val="18"/>
                <w:szCs w:val="18"/>
              </w:rPr>
              <w:t>s</w:t>
            </w:r>
          </w:p>
        </w:tc>
        <w:tc>
          <w:tcPr>
            <w:tcW w:w="3038" w:type="dxa"/>
            <w:vAlign w:val="center"/>
          </w:tcPr>
          <w:p w14:paraId="2407CCDC" w14:textId="1A7DAA99" w:rsidR="001569C6" w:rsidRPr="00CE5519" w:rsidRDefault="006D234B"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Continuous infusion 5-FU</w:t>
            </w:r>
          </w:p>
        </w:tc>
        <w:tc>
          <w:tcPr>
            <w:tcW w:w="4085" w:type="dxa"/>
            <w:vAlign w:val="center"/>
          </w:tcPr>
          <w:p w14:paraId="5A4AE452" w14:textId="1FAA8AB6"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We inferred </w:t>
            </w:r>
            <w:r w:rsidR="006D234B" w:rsidRPr="00CE5519">
              <w:rPr>
                <w:sz w:val="18"/>
                <w:szCs w:val="18"/>
              </w:rPr>
              <w:t>dosing</w:t>
            </w:r>
            <w:r w:rsidRPr="00CE5519">
              <w:rPr>
                <w:sz w:val="18"/>
                <w:szCs w:val="18"/>
              </w:rPr>
              <w:t xml:space="preserve"> from colon cancer dosing, including the treatment duration of 6 months</w:t>
            </w:r>
          </w:p>
        </w:tc>
        <w:tc>
          <w:tcPr>
            <w:tcW w:w="4230" w:type="dxa"/>
            <w:vAlign w:val="center"/>
          </w:tcPr>
          <w:p w14:paraId="0625F3D0" w14:textId="4F0601BE" w:rsidR="001569C6" w:rsidRPr="00CE5519" w:rsidRDefault="006D234B"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30005, 30015, 30022, 30036,</w:t>
            </w:r>
            <w:r w:rsidR="000878BC" w:rsidRPr="00CE5519">
              <w:rPr>
                <w:sz w:val="18"/>
                <w:szCs w:val="18"/>
              </w:rPr>
              <w:t xml:space="preserve"> </w:t>
            </w:r>
            <w:r w:rsidRPr="00CE5519">
              <w:rPr>
                <w:sz w:val="18"/>
                <w:szCs w:val="18"/>
              </w:rPr>
              <w:t>30045</w:t>
            </w:r>
          </w:p>
        </w:tc>
      </w:tr>
      <w:tr w:rsidR="001569C6" w:rsidRPr="00CE5519" w14:paraId="12D65F93"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1F8DBEDD" w14:textId="27215E24" w:rsidR="001569C6" w:rsidRPr="00CE5519" w:rsidRDefault="001569C6" w:rsidP="00CE5519">
            <w:pPr>
              <w:numPr>
                <w:ilvl w:val="0"/>
                <w:numId w:val="0"/>
              </w:numPr>
              <w:ind w:left="360"/>
              <w:rPr>
                <w:b w:val="0"/>
                <w:bCs w:val="0"/>
                <w:sz w:val="18"/>
                <w:szCs w:val="18"/>
              </w:rPr>
            </w:pPr>
            <w:r w:rsidRPr="00CE5519">
              <w:rPr>
                <w:b w:val="0"/>
                <w:bCs w:val="0"/>
                <w:sz w:val="18"/>
                <w:szCs w:val="18"/>
              </w:rPr>
              <w:t>Prostate</w:t>
            </w:r>
          </w:p>
        </w:tc>
        <w:tc>
          <w:tcPr>
            <w:tcW w:w="3038" w:type="dxa"/>
            <w:vAlign w:val="center"/>
          </w:tcPr>
          <w:p w14:paraId="106EB9AB" w14:textId="77777777" w:rsidR="001569C6" w:rsidRPr="00CE5519" w:rsidRDefault="00B929EC"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Continuous ADT and docetaxel 75 mg/m2</w:t>
            </w:r>
          </w:p>
          <w:p w14:paraId="12164AD9" w14:textId="77777777" w:rsidR="00725EBD" w:rsidRPr="00CE5519" w:rsidRDefault="00725EBD"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p>
          <w:p w14:paraId="1BDFDF8E" w14:textId="1A0CFA08" w:rsidR="00725EBD" w:rsidRPr="00CE5519" w:rsidRDefault="00725EBD"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LHRH antagonist and docetaxel</w:t>
            </w:r>
          </w:p>
        </w:tc>
        <w:tc>
          <w:tcPr>
            <w:tcW w:w="4085" w:type="dxa"/>
            <w:vAlign w:val="center"/>
          </w:tcPr>
          <w:p w14:paraId="7690180F" w14:textId="0D8DCD20"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Prior to Jan 2019, this regimen was called “Continuous ADT + docetaxel 75 mg/m2” and the lowest costing drug of leuprolide, goserelin, or triptorelin was used. Now, it is called “LHRH antagonist + docetaxel” and </w:t>
            </w:r>
            <w:proofErr w:type="spellStart"/>
            <w:r w:rsidRPr="00CE5519">
              <w:rPr>
                <w:sz w:val="18"/>
                <w:szCs w:val="18"/>
              </w:rPr>
              <w:t>degarelix</w:t>
            </w:r>
            <w:proofErr w:type="spellEnd"/>
            <w:r w:rsidRPr="00CE5519">
              <w:rPr>
                <w:sz w:val="18"/>
                <w:szCs w:val="18"/>
              </w:rPr>
              <w:t xml:space="preserve"> is used.</w:t>
            </w:r>
          </w:p>
        </w:tc>
        <w:tc>
          <w:tcPr>
            <w:tcW w:w="4230" w:type="dxa"/>
            <w:vAlign w:val="center"/>
          </w:tcPr>
          <w:p w14:paraId="10F7F09D" w14:textId="2227ADDC" w:rsidR="001569C6" w:rsidRPr="00CE5519" w:rsidRDefault="001569C6"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31136</w:t>
            </w:r>
          </w:p>
        </w:tc>
      </w:tr>
      <w:tr w:rsidR="001569C6" w:rsidRPr="00CE5519" w14:paraId="21CC9BF2"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451D4825" w14:textId="67458299" w:rsidR="001569C6" w:rsidRPr="00CE5519" w:rsidRDefault="001569C6" w:rsidP="00CE5519">
            <w:pPr>
              <w:numPr>
                <w:ilvl w:val="0"/>
                <w:numId w:val="0"/>
              </w:numPr>
              <w:ind w:left="360"/>
              <w:rPr>
                <w:b w:val="0"/>
                <w:bCs w:val="0"/>
                <w:sz w:val="18"/>
                <w:szCs w:val="18"/>
              </w:rPr>
            </w:pPr>
            <w:r w:rsidRPr="00CE5519">
              <w:rPr>
                <w:b w:val="0"/>
                <w:bCs w:val="0"/>
                <w:sz w:val="18"/>
                <w:szCs w:val="18"/>
              </w:rPr>
              <w:t>Prostate</w:t>
            </w:r>
          </w:p>
        </w:tc>
        <w:tc>
          <w:tcPr>
            <w:tcW w:w="3038" w:type="dxa"/>
            <w:vAlign w:val="center"/>
          </w:tcPr>
          <w:p w14:paraId="0F6580B2" w14:textId="2D881EB1" w:rsidR="001569C6" w:rsidRPr="00CE5519" w:rsidRDefault="000878BC"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LHRH Agonist</w:t>
            </w:r>
          </w:p>
        </w:tc>
        <w:tc>
          <w:tcPr>
            <w:tcW w:w="4085" w:type="dxa"/>
            <w:vAlign w:val="center"/>
          </w:tcPr>
          <w:p w14:paraId="4406EA8E" w14:textId="70B011D4"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For cases where the LHRH agonist is not specified, we will use the lowest-cost drug among leuprolide, goserelin, triptorelin</w:t>
            </w:r>
          </w:p>
        </w:tc>
        <w:tc>
          <w:tcPr>
            <w:tcW w:w="4230" w:type="dxa"/>
            <w:vAlign w:val="center"/>
          </w:tcPr>
          <w:p w14:paraId="586124C6" w14:textId="5849E5FB" w:rsidR="001569C6" w:rsidRPr="00CE5519" w:rsidRDefault="000E09FA"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r>
      <w:tr w:rsidR="001569C6" w:rsidRPr="00CE5519" w14:paraId="2531708B"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4187487D" w14:textId="2DA8E196" w:rsidR="001569C6" w:rsidRPr="00CE5519" w:rsidRDefault="001569C6" w:rsidP="00CE5519">
            <w:pPr>
              <w:numPr>
                <w:ilvl w:val="0"/>
                <w:numId w:val="0"/>
              </w:numPr>
              <w:ind w:left="360"/>
              <w:rPr>
                <w:b w:val="0"/>
                <w:bCs w:val="0"/>
                <w:sz w:val="18"/>
                <w:szCs w:val="18"/>
              </w:rPr>
            </w:pPr>
            <w:r w:rsidRPr="00CE5519">
              <w:rPr>
                <w:b w:val="0"/>
                <w:bCs w:val="0"/>
                <w:sz w:val="18"/>
                <w:szCs w:val="18"/>
              </w:rPr>
              <w:t>Prostate</w:t>
            </w:r>
          </w:p>
        </w:tc>
        <w:tc>
          <w:tcPr>
            <w:tcW w:w="3038" w:type="dxa"/>
            <w:vAlign w:val="center"/>
          </w:tcPr>
          <w:p w14:paraId="7DF4B860" w14:textId="5A0E2B17" w:rsidR="001569C6" w:rsidRPr="00CE5519" w:rsidRDefault="000878BC"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c>
          <w:tcPr>
            <w:tcW w:w="4085" w:type="dxa"/>
            <w:vAlign w:val="center"/>
          </w:tcPr>
          <w:p w14:paraId="30523A54" w14:textId="42E2FCCD"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adjuvant treatment along with ADT, we assumed the duration for high-risk as well as N1 disease was 2 years</w:t>
            </w:r>
          </w:p>
        </w:tc>
        <w:tc>
          <w:tcPr>
            <w:tcW w:w="4230" w:type="dxa"/>
            <w:vAlign w:val="center"/>
          </w:tcPr>
          <w:p w14:paraId="5D94814E" w14:textId="2608B9DC" w:rsidR="001569C6" w:rsidRPr="00CE5519" w:rsidRDefault="000E09FA"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r>
      <w:tr w:rsidR="001569C6" w:rsidRPr="00CE5519" w14:paraId="57EF04E6"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74B74ADA" w14:textId="19091EFD" w:rsidR="001569C6" w:rsidRPr="00CE5519" w:rsidRDefault="001569C6" w:rsidP="00CE5519">
            <w:pPr>
              <w:numPr>
                <w:ilvl w:val="0"/>
                <w:numId w:val="0"/>
              </w:numPr>
              <w:ind w:left="360"/>
              <w:rPr>
                <w:b w:val="0"/>
                <w:bCs w:val="0"/>
                <w:sz w:val="18"/>
                <w:szCs w:val="18"/>
              </w:rPr>
            </w:pPr>
            <w:r w:rsidRPr="00CE5519">
              <w:rPr>
                <w:b w:val="0"/>
                <w:bCs w:val="0"/>
                <w:sz w:val="18"/>
                <w:szCs w:val="18"/>
              </w:rPr>
              <w:t>Prostate</w:t>
            </w:r>
          </w:p>
        </w:tc>
        <w:tc>
          <w:tcPr>
            <w:tcW w:w="3038" w:type="dxa"/>
            <w:vAlign w:val="center"/>
          </w:tcPr>
          <w:p w14:paraId="36BF7C8A" w14:textId="21A6311F" w:rsidR="001569C6" w:rsidRPr="00CE5519" w:rsidRDefault="005820A5"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c>
          <w:tcPr>
            <w:tcW w:w="4085" w:type="dxa"/>
            <w:vAlign w:val="center"/>
          </w:tcPr>
          <w:p w14:paraId="6B1990F9" w14:textId="0DF69393"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For first-generation antiandrogens, we assumed bicalutamide</w:t>
            </w:r>
          </w:p>
        </w:tc>
        <w:tc>
          <w:tcPr>
            <w:tcW w:w="4230" w:type="dxa"/>
            <w:vAlign w:val="center"/>
          </w:tcPr>
          <w:p w14:paraId="4EDB8E4D" w14:textId="37CEE113" w:rsidR="001569C6" w:rsidRPr="00CE5519" w:rsidRDefault="000E09FA"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r>
      <w:tr w:rsidR="001569C6" w:rsidRPr="00CE5519" w14:paraId="3B8CBFB9"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079BDF19" w14:textId="478822B4" w:rsidR="001569C6" w:rsidRPr="00CE5519" w:rsidRDefault="001569C6" w:rsidP="00CE5519">
            <w:pPr>
              <w:numPr>
                <w:ilvl w:val="0"/>
                <w:numId w:val="0"/>
              </w:numPr>
              <w:ind w:left="360"/>
              <w:rPr>
                <w:b w:val="0"/>
                <w:bCs w:val="0"/>
                <w:sz w:val="18"/>
                <w:szCs w:val="18"/>
              </w:rPr>
            </w:pPr>
            <w:r w:rsidRPr="00CE5519">
              <w:rPr>
                <w:b w:val="0"/>
                <w:bCs w:val="0"/>
                <w:sz w:val="18"/>
                <w:szCs w:val="18"/>
              </w:rPr>
              <w:t>Prostate</w:t>
            </w:r>
          </w:p>
        </w:tc>
        <w:tc>
          <w:tcPr>
            <w:tcW w:w="3038" w:type="dxa"/>
            <w:vAlign w:val="center"/>
          </w:tcPr>
          <w:p w14:paraId="01CA7902" w14:textId="0FC3D253" w:rsidR="001569C6" w:rsidRPr="00CE5519" w:rsidRDefault="009E3611"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c>
          <w:tcPr>
            <w:tcW w:w="4085" w:type="dxa"/>
            <w:vAlign w:val="center"/>
          </w:tcPr>
          <w:p w14:paraId="4F90FAAC" w14:textId="4CA824FD"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For LHRH antagonists, we assumed </w:t>
            </w:r>
            <w:proofErr w:type="spellStart"/>
            <w:r w:rsidRPr="00CE5519">
              <w:rPr>
                <w:sz w:val="18"/>
                <w:szCs w:val="18"/>
              </w:rPr>
              <w:t>degarelix</w:t>
            </w:r>
            <w:proofErr w:type="spellEnd"/>
          </w:p>
        </w:tc>
        <w:tc>
          <w:tcPr>
            <w:tcW w:w="4230" w:type="dxa"/>
            <w:vAlign w:val="center"/>
          </w:tcPr>
          <w:p w14:paraId="07ED7421" w14:textId="169D5991" w:rsidR="001569C6" w:rsidRPr="00CE5519" w:rsidRDefault="000E09FA"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r>
      <w:tr w:rsidR="001569C6" w:rsidRPr="00CE5519" w14:paraId="4499E269"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21A3FCB8" w14:textId="699FD054" w:rsidR="001569C6" w:rsidRPr="00CE5519" w:rsidRDefault="001569C6" w:rsidP="00CE5519">
            <w:pPr>
              <w:numPr>
                <w:ilvl w:val="0"/>
                <w:numId w:val="0"/>
              </w:numPr>
              <w:ind w:left="360"/>
              <w:rPr>
                <w:b w:val="0"/>
                <w:bCs w:val="0"/>
                <w:sz w:val="18"/>
                <w:szCs w:val="18"/>
              </w:rPr>
            </w:pPr>
            <w:r w:rsidRPr="00CE5519">
              <w:rPr>
                <w:b w:val="0"/>
                <w:bCs w:val="0"/>
                <w:sz w:val="18"/>
                <w:szCs w:val="18"/>
              </w:rPr>
              <w:t>Prostate</w:t>
            </w:r>
          </w:p>
        </w:tc>
        <w:tc>
          <w:tcPr>
            <w:tcW w:w="3038" w:type="dxa"/>
            <w:vAlign w:val="center"/>
          </w:tcPr>
          <w:p w14:paraId="2B22D086" w14:textId="54148D88" w:rsidR="001569C6" w:rsidRPr="00CE5519" w:rsidRDefault="005820A5"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Corticosteroid</w:t>
            </w:r>
            <w:r w:rsidR="000656ED" w:rsidRPr="00CE5519">
              <w:rPr>
                <w:sz w:val="18"/>
                <w:szCs w:val="18"/>
              </w:rPr>
              <w:t>s</w:t>
            </w:r>
          </w:p>
        </w:tc>
        <w:tc>
          <w:tcPr>
            <w:tcW w:w="4085" w:type="dxa"/>
            <w:vAlign w:val="center"/>
          </w:tcPr>
          <w:p w14:paraId="53B586F3" w14:textId="4EBFB32C" w:rsidR="000656ED" w:rsidRPr="00CE5519" w:rsidRDefault="000656ED"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For corticosteroids, we used whatever is the lowest-cost among prednisone 40mg/day, hydrocortisone 40mg/day, or dexamethasone 1.5mg/day</w:t>
            </w:r>
          </w:p>
          <w:p w14:paraId="71A66890" w14:textId="06465AC3" w:rsidR="001569C6" w:rsidRPr="00CE5519" w:rsidRDefault="00582C8A"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w:t>
            </w:r>
            <w:r w:rsidR="001569C6" w:rsidRPr="00CE5519">
              <w:rPr>
                <w:sz w:val="18"/>
                <w:szCs w:val="18"/>
              </w:rPr>
              <w:t>e used the following review article:</w:t>
            </w:r>
            <w:r w:rsidR="000656ED" w:rsidRPr="00CE5519">
              <w:rPr>
                <w:sz w:val="18"/>
                <w:szCs w:val="18"/>
              </w:rPr>
              <w:t xml:space="preserve"> </w:t>
            </w:r>
            <w:r w:rsidR="005820A5" w:rsidRPr="00CE5519">
              <w:rPr>
                <w:sz w:val="18"/>
                <w:szCs w:val="18"/>
              </w:rPr>
              <w:t>h</w:t>
            </w:r>
            <w:r w:rsidR="001569C6" w:rsidRPr="00CE5519">
              <w:rPr>
                <w:sz w:val="18"/>
                <w:szCs w:val="18"/>
              </w:rPr>
              <w:t>ttps://www.ncbi.nlm.nih.gov/pubmed/14747046</w:t>
            </w:r>
          </w:p>
        </w:tc>
        <w:tc>
          <w:tcPr>
            <w:tcW w:w="4230" w:type="dxa"/>
            <w:vAlign w:val="center"/>
          </w:tcPr>
          <w:p w14:paraId="18064BE2" w14:textId="215F15AA" w:rsidR="001569C6" w:rsidRPr="00CE5519" w:rsidRDefault="005820A5"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31002, 31010, 31021, 31034, 31047, 31060, 31071, 31083, 31098</w:t>
            </w:r>
          </w:p>
        </w:tc>
      </w:tr>
      <w:tr w:rsidR="001569C6" w:rsidRPr="00CE5519" w14:paraId="199F6348"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127F4B76" w14:textId="736E68EA" w:rsidR="001569C6" w:rsidRPr="00CE5519" w:rsidRDefault="001569C6" w:rsidP="00CE5519">
            <w:pPr>
              <w:numPr>
                <w:ilvl w:val="0"/>
                <w:numId w:val="0"/>
              </w:numPr>
              <w:ind w:left="360"/>
              <w:rPr>
                <w:b w:val="0"/>
                <w:bCs w:val="0"/>
                <w:sz w:val="18"/>
                <w:szCs w:val="18"/>
              </w:rPr>
            </w:pPr>
            <w:r w:rsidRPr="00CE5519">
              <w:rPr>
                <w:b w:val="0"/>
                <w:bCs w:val="0"/>
                <w:sz w:val="18"/>
                <w:szCs w:val="18"/>
              </w:rPr>
              <w:lastRenderedPageBreak/>
              <w:t>Prostate</w:t>
            </w:r>
          </w:p>
        </w:tc>
        <w:tc>
          <w:tcPr>
            <w:tcW w:w="3038" w:type="dxa"/>
            <w:vAlign w:val="center"/>
          </w:tcPr>
          <w:p w14:paraId="387EB952" w14:textId="08049092" w:rsidR="001569C6" w:rsidRPr="00CE5519" w:rsidRDefault="00764E74"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DES or other estrogen</w:t>
            </w:r>
          </w:p>
        </w:tc>
        <w:tc>
          <w:tcPr>
            <w:tcW w:w="4085" w:type="dxa"/>
            <w:vAlign w:val="center"/>
          </w:tcPr>
          <w:p w14:paraId="70985541" w14:textId="5A7C4C83"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We referred to the following trial to support dosing at 1mg/kg per day: https://www.ncbi.nlm.nih.gov/pubmed/16215308</w:t>
            </w:r>
          </w:p>
        </w:tc>
        <w:tc>
          <w:tcPr>
            <w:tcW w:w="4230" w:type="dxa"/>
            <w:vAlign w:val="center"/>
          </w:tcPr>
          <w:p w14:paraId="1F0B8FFB" w14:textId="6E6F972D" w:rsidR="001569C6" w:rsidRPr="00CE5519" w:rsidRDefault="00CF0154"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31007, 31018, 31028, 31028, 31043, 31057, 31067, 31079, 31094, 31107</w:t>
            </w:r>
          </w:p>
        </w:tc>
      </w:tr>
      <w:tr w:rsidR="001569C6" w:rsidRPr="00CE5519" w14:paraId="49EDFEFB"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12B0857E" w14:textId="5974CAC7" w:rsidR="001569C6" w:rsidRPr="00CE5519" w:rsidRDefault="001569C6" w:rsidP="00CE5519">
            <w:pPr>
              <w:numPr>
                <w:ilvl w:val="0"/>
                <w:numId w:val="0"/>
              </w:numPr>
              <w:ind w:left="360"/>
              <w:rPr>
                <w:b w:val="0"/>
                <w:bCs w:val="0"/>
                <w:sz w:val="18"/>
                <w:szCs w:val="18"/>
              </w:rPr>
            </w:pPr>
            <w:r w:rsidRPr="00CE5519">
              <w:rPr>
                <w:b w:val="0"/>
                <w:bCs w:val="0"/>
                <w:sz w:val="18"/>
                <w:szCs w:val="18"/>
              </w:rPr>
              <w:t>Prostate</w:t>
            </w:r>
          </w:p>
        </w:tc>
        <w:tc>
          <w:tcPr>
            <w:tcW w:w="3038" w:type="dxa"/>
            <w:vAlign w:val="center"/>
          </w:tcPr>
          <w:p w14:paraId="18FDFF6E" w14:textId="7FAC2D99" w:rsidR="001569C6" w:rsidRPr="00CE5519" w:rsidRDefault="00B3770A"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c>
          <w:tcPr>
            <w:tcW w:w="4085" w:type="dxa"/>
            <w:vAlign w:val="center"/>
          </w:tcPr>
          <w:p w14:paraId="633CCB77" w14:textId="0D9B2269"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In cases where abiraterone or fine-particle abiraterone is specified, we assumed co-administration of prednisone (for abiraterone) or </w:t>
            </w:r>
            <w:r w:rsidR="00B3770A" w:rsidRPr="00CE5519">
              <w:rPr>
                <w:sz w:val="18"/>
                <w:szCs w:val="18"/>
              </w:rPr>
              <w:t>methylprednisone</w:t>
            </w:r>
            <w:r w:rsidRPr="00CE5519">
              <w:rPr>
                <w:sz w:val="18"/>
                <w:szCs w:val="18"/>
              </w:rPr>
              <w:t xml:space="preserve"> (for fine-particle abiraterone, </w:t>
            </w:r>
            <w:r w:rsidR="00725EBD" w:rsidRPr="00CE5519">
              <w:rPr>
                <w:sz w:val="18"/>
                <w:szCs w:val="18"/>
              </w:rPr>
              <w:t>e.g.</w:t>
            </w:r>
            <w:r w:rsidRPr="00CE5519">
              <w:rPr>
                <w:sz w:val="18"/>
                <w:szCs w:val="18"/>
              </w:rPr>
              <w:t xml:space="preserve">, </w:t>
            </w:r>
            <w:proofErr w:type="spellStart"/>
            <w:r w:rsidRPr="00CE5519">
              <w:rPr>
                <w:sz w:val="18"/>
                <w:szCs w:val="18"/>
              </w:rPr>
              <w:t>Yonsa</w:t>
            </w:r>
            <w:proofErr w:type="spellEnd"/>
            <w:r w:rsidRPr="00CE5519">
              <w:rPr>
                <w:sz w:val="18"/>
                <w:szCs w:val="18"/>
              </w:rPr>
              <w:t>).</w:t>
            </w:r>
          </w:p>
        </w:tc>
        <w:tc>
          <w:tcPr>
            <w:tcW w:w="4230" w:type="dxa"/>
            <w:vAlign w:val="center"/>
          </w:tcPr>
          <w:p w14:paraId="2E569063" w14:textId="6B98F597" w:rsidR="001569C6" w:rsidRPr="00CE5519" w:rsidRDefault="000E09FA"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r>
      <w:tr w:rsidR="00500708" w:rsidRPr="00CE5519" w14:paraId="7BCEF224"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4587018B" w14:textId="64E6BE96" w:rsidR="00500708" w:rsidRPr="00500708" w:rsidRDefault="00500708" w:rsidP="00CE5519">
            <w:pPr>
              <w:numPr>
                <w:ilvl w:val="0"/>
                <w:numId w:val="0"/>
              </w:numPr>
              <w:ind w:left="360"/>
              <w:rPr>
                <w:b w:val="0"/>
                <w:bCs w:val="0"/>
                <w:sz w:val="18"/>
                <w:szCs w:val="18"/>
              </w:rPr>
            </w:pPr>
            <w:r w:rsidRPr="00500708">
              <w:rPr>
                <w:b w:val="0"/>
                <w:bCs w:val="0"/>
                <w:sz w:val="18"/>
                <w:szCs w:val="18"/>
              </w:rPr>
              <w:t>Prostate</w:t>
            </w:r>
          </w:p>
        </w:tc>
        <w:tc>
          <w:tcPr>
            <w:tcW w:w="3038" w:type="dxa"/>
            <w:vAlign w:val="center"/>
          </w:tcPr>
          <w:p w14:paraId="6753106E" w14:textId="04EC3300" w:rsidR="00500708" w:rsidRPr="00CE5519" w:rsidRDefault="00500708"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p>
        </w:tc>
        <w:tc>
          <w:tcPr>
            <w:tcW w:w="4085" w:type="dxa"/>
            <w:vAlign w:val="center"/>
          </w:tcPr>
          <w:p w14:paraId="78AA2B1E" w14:textId="1E498125" w:rsidR="00500708" w:rsidRPr="00CE5519" w:rsidRDefault="00500708"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For metastatic small cell cancer of the prostate, we presumed that systemic therapy would be administered for 6 cycles following conventions for small cell cancer of the lung</w:t>
            </w:r>
          </w:p>
        </w:tc>
        <w:tc>
          <w:tcPr>
            <w:tcW w:w="4230" w:type="dxa"/>
            <w:vAlign w:val="center"/>
          </w:tcPr>
          <w:p w14:paraId="334511F7" w14:textId="746D3035" w:rsidR="00500708" w:rsidRPr="00CE5519" w:rsidRDefault="00500708"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p>
        </w:tc>
      </w:tr>
      <w:tr w:rsidR="001569C6" w:rsidRPr="00CE5519" w14:paraId="262C2EBF"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4A5BB4EE" w14:textId="7DB7DFF2" w:rsidR="001569C6" w:rsidRPr="00CE5519" w:rsidRDefault="001569C6" w:rsidP="00CE5519">
            <w:pPr>
              <w:numPr>
                <w:ilvl w:val="0"/>
                <w:numId w:val="0"/>
              </w:numPr>
              <w:ind w:left="360"/>
              <w:rPr>
                <w:b w:val="0"/>
                <w:bCs w:val="0"/>
                <w:sz w:val="18"/>
                <w:szCs w:val="18"/>
              </w:rPr>
            </w:pPr>
            <w:r w:rsidRPr="00CE5519">
              <w:rPr>
                <w:b w:val="0"/>
                <w:bCs w:val="0"/>
                <w:sz w:val="18"/>
                <w:szCs w:val="18"/>
              </w:rPr>
              <w:t>Rectal</w:t>
            </w:r>
          </w:p>
        </w:tc>
        <w:tc>
          <w:tcPr>
            <w:tcW w:w="3038" w:type="dxa"/>
            <w:vAlign w:val="center"/>
          </w:tcPr>
          <w:p w14:paraId="3B38EED2" w14:textId="1383CA39" w:rsidR="001569C6" w:rsidRPr="00CE5519" w:rsidRDefault="00B3770A"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c>
          <w:tcPr>
            <w:tcW w:w="4085" w:type="dxa"/>
            <w:vAlign w:val="center"/>
          </w:tcPr>
          <w:p w14:paraId="122EB865" w14:textId="1217549B"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Similar to colon cancer, we assumed a total of 6 months of therapy as the standard duration for adjuvant therapy as well as for neoadjuvant/adjuvant/perioperative therapy for resectable metastatic disease</w:t>
            </w:r>
          </w:p>
        </w:tc>
        <w:tc>
          <w:tcPr>
            <w:tcW w:w="4230" w:type="dxa"/>
            <w:vAlign w:val="center"/>
          </w:tcPr>
          <w:p w14:paraId="2564C6D2" w14:textId="661293AB" w:rsidR="001569C6" w:rsidRPr="00CE5519" w:rsidRDefault="000E09FA"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r>
      <w:tr w:rsidR="001569C6" w:rsidRPr="00CE5519" w14:paraId="0E2CED44"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080A21AB" w14:textId="14030AD6" w:rsidR="001569C6" w:rsidRPr="00CE5519" w:rsidRDefault="001569C6" w:rsidP="00CE5519">
            <w:pPr>
              <w:numPr>
                <w:ilvl w:val="0"/>
                <w:numId w:val="0"/>
              </w:numPr>
              <w:ind w:left="360"/>
              <w:rPr>
                <w:b w:val="0"/>
                <w:bCs w:val="0"/>
                <w:sz w:val="18"/>
                <w:szCs w:val="18"/>
              </w:rPr>
            </w:pPr>
            <w:r w:rsidRPr="00CE5519">
              <w:rPr>
                <w:b w:val="0"/>
                <w:bCs w:val="0"/>
                <w:sz w:val="18"/>
                <w:szCs w:val="18"/>
              </w:rPr>
              <w:t>Rectal</w:t>
            </w:r>
          </w:p>
        </w:tc>
        <w:tc>
          <w:tcPr>
            <w:tcW w:w="3038" w:type="dxa"/>
            <w:vAlign w:val="center"/>
          </w:tcPr>
          <w:p w14:paraId="07BA4D27" w14:textId="5A8D1AD7" w:rsidR="00B929EC" w:rsidRPr="00CE5519" w:rsidRDefault="00B929EC"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FOLFOX</w:t>
            </w:r>
          </w:p>
        </w:tc>
        <w:tc>
          <w:tcPr>
            <w:tcW w:w="4085" w:type="dxa"/>
            <w:vAlign w:val="center"/>
          </w:tcPr>
          <w:p w14:paraId="112E9535" w14:textId="53C36EC9"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all neo/adjuvant FOLFOX regimens, we assumed that 6 months of therapy would equate to 26 weeks / 2 weeks per cycle = 13 cycles</w:t>
            </w:r>
          </w:p>
        </w:tc>
        <w:tc>
          <w:tcPr>
            <w:tcW w:w="4230" w:type="dxa"/>
            <w:vAlign w:val="center"/>
          </w:tcPr>
          <w:p w14:paraId="431EC308" w14:textId="25D9DD94" w:rsidR="001569C6" w:rsidRPr="00CE5519" w:rsidRDefault="001569C6"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32006, 32011, 32019, 32026, 32040, 32042, 32072, 32076</w:t>
            </w:r>
          </w:p>
        </w:tc>
      </w:tr>
      <w:tr w:rsidR="001569C6" w:rsidRPr="00CE5519" w14:paraId="29BB21E5"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6C96F7A2" w14:textId="0B7DF3F5" w:rsidR="001569C6" w:rsidRPr="00CE5519" w:rsidRDefault="001569C6" w:rsidP="00CE5519">
            <w:pPr>
              <w:numPr>
                <w:ilvl w:val="0"/>
                <w:numId w:val="0"/>
              </w:numPr>
              <w:ind w:left="360"/>
              <w:rPr>
                <w:b w:val="0"/>
                <w:bCs w:val="0"/>
                <w:sz w:val="18"/>
                <w:szCs w:val="18"/>
              </w:rPr>
            </w:pPr>
            <w:r w:rsidRPr="00CE5519">
              <w:rPr>
                <w:b w:val="0"/>
                <w:bCs w:val="0"/>
                <w:sz w:val="18"/>
                <w:szCs w:val="18"/>
              </w:rPr>
              <w:t>Rectal</w:t>
            </w:r>
          </w:p>
        </w:tc>
        <w:tc>
          <w:tcPr>
            <w:tcW w:w="3038" w:type="dxa"/>
            <w:vAlign w:val="center"/>
          </w:tcPr>
          <w:p w14:paraId="76A6E8F3" w14:textId="4B7B8C29" w:rsidR="001569C6" w:rsidRPr="00CE5519" w:rsidRDefault="000E09FA"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CE5519">
              <w:rPr>
                <w:sz w:val="18"/>
                <w:szCs w:val="18"/>
              </w:rPr>
              <w:t>CapeOx</w:t>
            </w:r>
            <w:proofErr w:type="spellEnd"/>
          </w:p>
        </w:tc>
        <w:tc>
          <w:tcPr>
            <w:tcW w:w="4085" w:type="dxa"/>
            <w:vAlign w:val="center"/>
          </w:tcPr>
          <w:p w14:paraId="7C43B014" w14:textId="7A04B6CC"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For all neo/adjuvant </w:t>
            </w:r>
            <w:proofErr w:type="spellStart"/>
            <w:r w:rsidRPr="00CE5519">
              <w:rPr>
                <w:sz w:val="18"/>
                <w:szCs w:val="18"/>
              </w:rPr>
              <w:t>CapeOx</w:t>
            </w:r>
            <w:proofErr w:type="spellEnd"/>
            <w:r w:rsidRPr="00CE5519">
              <w:rPr>
                <w:sz w:val="18"/>
                <w:szCs w:val="18"/>
              </w:rPr>
              <w:t xml:space="preserve"> regimens, we assumed that 6 months of therapy would equate to 26 weeks / 3 weeks per cycle = 8.67 cycles</w:t>
            </w:r>
          </w:p>
        </w:tc>
        <w:tc>
          <w:tcPr>
            <w:tcW w:w="4230" w:type="dxa"/>
            <w:vAlign w:val="center"/>
          </w:tcPr>
          <w:p w14:paraId="4BC6EE92" w14:textId="0774B8E3" w:rsidR="001569C6" w:rsidRPr="00CE5519" w:rsidRDefault="001569C6"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32007, 32012, 32020, 32027, 32041, 32043, 32073, 32077</w:t>
            </w:r>
          </w:p>
        </w:tc>
      </w:tr>
      <w:tr w:rsidR="001569C6" w:rsidRPr="00CE5519" w14:paraId="3F8D748A"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62F2F7B2" w14:textId="376889B2" w:rsidR="001569C6" w:rsidRPr="00CE5519" w:rsidRDefault="001569C6" w:rsidP="00CE5519">
            <w:pPr>
              <w:numPr>
                <w:ilvl w:val="0"/>
                <w:numId w:val="0"/>
              </w:numPr>
              <w:ind w:left="360"/>
              <w:rPr>
                <w:b w:val="0"/>
                <w:bCs w:val="0"/>
                <w:sz w:val="18"/>
                <w:szCs w:val="18"/>
              </w:rPr>
            </w:pPr>
            <w:r w:rsidRPr="00CE5519">
              <w:rPr>
                <w:b w:val="0"/>
                <w:bCs w:val="0"/>
                <w:sz w:val="18"/>
                <w:szCs w:val="18"/>
              </w:rPr>
              <w:t>Sarcoma (Soft Tissue)</w:t>
            </w:r>
          </w:p>
        </w:tc>
        <w:tc>
          <w:tcPr>
            <w:tcW w:w="3038" w:type="dxa"/>
            <w:vAlign w:val="center"/>
          </w:tcPr>
          <w:p w14:paraId="1E15628D" w14:textId="20AD5D1C" w:rsidR="001569C6" w:rsidRPr="00CE5519" w:rsidRDefault="00495B7F"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c>
          <w:tcPr>
            <w:tcW w:w="4085" w:type="dxa"/>
            <w:vAlign w:val="center"/>
          </w:tcPr>
          <w:p w14:paraId="35726A81" w14:textId="407751B9"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adjuvant/neoadjuvant therapy, for the treatment regimens AD and AIM, we assumed a number of cycles necessary to get to the specified &gt;400mg of doxorubicin</w:t>
            </w:r>
          </w:p>
        </w:tc>
        <w:tc>
          <w:tcPr>
            <w:tcW w:w="4230" w:type="dxa"/>
            <w:vAlign w:val="center"/>
          </w:tcPr>
          <w:p w14:paraId="016CA1F2" w14:textId="3B7F5284" w:rsidR="001569C6" w:rsidRPr="00CE5519" w:rsidRDefault="000E09FA"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r>
      <w:tr w:rsidR="001569C6" w:rsidRPr="00CE5519" w14:paraId="1E2A9A6C"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30BCB1BE" w14:textId="3C86FACD" w:rsidR="001569C6" w:rsidRPr="00CE5519" w:rsidRDefault="001569C6" w:rsidP="00CE5519">
            <w:pPr>
              <w:numPr>
                <w:ilvl w:val="0"/>
                <w:numId w:val="0"/>
              </w:numPr>
              <w:ind w:left="360"/>
              <w:rPr>
                <w:b w:val="0"/>
                <w:bCs w:val="0"/>
                <w:sz w:val="18"/>
                <w:szCs w:val="18"/>
              </w:rPr>
            </w:pPr>
            <w:r w:rsidRPr="00CE5519">
              <w:rPr>
                <w:b w:val="0"/>
                <w:bCs w:val="0"/>
                <w:sz w:val="18"/>
                <w:szCs w:val="18"/>
              </w:rPr>
              <w:t>Sarcoma (Soft Tissue)</w:t>
            </w:r>
          </w:p>
        </w:tc>
        <w:tc>
          <w:tcPr>
            <w:tcW w:w="3038" w:type="dxa"/>
            <w:vAlign w:val="center"/>
          </w:tcPr>
          <w:p w14:paraId="3A5CE9C7" w14:textId="77777777" w:rsidR="001569C6" w:rsidRPr="00CE5519" w:rsidRDefault="00495B7F"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CE5519">
              <w:rPr>
                <w:sz w:val="18"/>
                <w:szCs w:val="18"/>
              </w:rPr>
              <w:t>Ifosfamide</w:t>
            </w:r>
            <w:proofErr w:type="spellEnd"/>
            <w:r w:rsidRPr="00CE5519">
              <w:rPr>
                <w:sz w:val="18"/>
                <w:szCs w:val="18"/>
              </w:rPr>
              <w:t xml:space="preserve">, </w:t>
            </w:r>
            <w:proofErr w:type="spellStart"/>
            <w:r w:rsidRPr="00CE5519">
              <w:rPr>
                <w:sz w:val="18"/>
                <w:szCs w:val="18"/>
              </w:rPr>
              <w:t>epirubicin</w:t>
            </w:r>
            <w:proofErr w:type="spellEnd"/>
            <w:r w:rsidRPr="00CE5519">
              <w:rPr>
                <w:sz w:val="18"/>
                <w:szCs w:val="18"/>
              </w:rPr>
              <w:t xml:space="preserve">, and </w:t>
            </w:r>
            <w:proofErr w:type="spellStart"/>
            <w:r w:rsidRPr="00CE5519">
              <w:rPr>
                <w:sz w:val="18"/>
                <w:szCs w:val="18"/>
              </w:rPr>
              <w:t>mesna</w:t>
            </w:r>
            <w:proofErr w:type="spellEnd"/>
          </w:p>
          <w:p w14:paraId="51FBA2A2" w14:textId="702F5E7F" w:rsidR="00495B7F" w:rsidRPr="00CE5519" w:rsidRDefault="00495B7F"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Epirubicin monotherapy</w:t>
            </w:r>
          </w:p>
        </w:tc>
        <w:tc>
          <w:tcPr>
            <w:tcW w:w="4085" w:type="dxa"/>
            <w:vAlign w:val="center"/>
          </w:tcPr>
          <w:p w14:paraId="3D9B0E2C" w14:textId="67D2E71A"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For advanced disease, we assumed</w:t>
            </w:r>
            <w:r w:rsidR="003A0DC6" w:rsidRPr="00CE5519">
              <w:rPr>
                <w:sz w:val="18"/>
                <w:szCs w:val="18"/>
              </w:rPr>
              <w:t xml:space="preserve"> </w:t>
            </w:r>
            <w:r w:rsidRPr="00CE5519">
              <w:rPr>
                <w:sz w:val="18"/>
                <w:szCs w:val="18"/>
              </w:rPr>
              <w:t>treatment would continue until progression or toxicity (</w:t>
            </w:r>
            <w:proofErr w:type="spellStart"/>
            <w:r w:rsidRPr="00CE5519">
              <w:rPr>
                <w:sz w:val="18"/>
                <w:szCs w:val="18"/>
              </w:rPr>
              <w:t>eg.</w:t>
            </w:r>
            <w:proofErr w:type="spellEnd"/>
            <w:r w:rsidRPr="00CE5519">
              <w:rPr>
                <w:sz w:val="18"/>
                <w:szCs w:val="18"/>
              </w:rPr>
              <w:t>, coded as “time unlimited”).</w:t>
            </w:r>
          </w:p>
        </w:tc>
        <w:tc>
          <w:tcPr>
            <w:tcW w:w="4230" w:type="dxa"/>
            <w:vAlign w:val="center"/>
          </w:tcPr>
          <w:p w14:paraId="007B885A" w14:textId="6E3B15B0" w:rsidR="001569C6" w:rsidRPr="00CE5519" w:rsidRDefault="007D6273"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34004, 34007, 34011, 34014, 34022, 34026</w:t>
            </w:r>
          </w:p>
        </w:tc>
      </w:tr>
      <w:tr w:rsidR="001569C6" w:rsidRPr="00CE5519" w14:paraId="19D44901"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6372DDC7" w14:textId="248F7DF4" w:rsidR="001569C6" w:rsidRPr="00CE5519" w:rsidRDefault="001569C6" w:rsidP="00CE5519">
            <w:pPr>
              <w:numPr>
                <w:ilvl w:val="0"/>
                <w:numId w:val="0"/>
              </w:numPr>
              <w:ind w:left="360"/>
              <w:rPr>
                <w:b w:val="0"/>
                <w:bCs w:val="0"/>
                <w:sz w:val="18"/>
                <w:szCs w:val="18"/>
              </w:rPr>
            </w:pPr>
            <w:r w:rsidRPr="00CE5519">
              <w:rPr>
                <w:b w:val="0"/>
                <w:bCs w:val="0"/>
                <w:sz w:val="18"/>
                <w:szCs w:val="18"/>
              </w:rPr>
              <w:t>Sarcoma (Soft Tissue)</w:t>
            </w:r>
          </w:p>
        </w:tc>
        <w:tc>
          <w:tcPr>
            <w:tcW w:w="3038" w:type="dxa"/>
            <w:vAlign w:val="center"/>
          </w:tcPr>
          <w:p w14:paraId="779FA5D1" w14:textId="77777777" w:rsidR="001569C6" w:rsidRPr="00CE5519" w:rsidRDefault="003A0D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Single-agent Dacarbazine</w:t>
            </w:r>
          </w:p>
          <w:p w14:paraId="07D3F43A" w14:textId="77777777" w:rsidR="003A0DC6" w:rsidRPr="00CE5519" w:rsidRDefault="003A0D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Single-agent Gemcitabine</w:t>
            </w:r>
          </w:p>
          <w:p w14:paraId="48B2F7A4" w14:textId="466DA3C6" w:rsidR="003A0DC6" w:rsidRPr="00CE5519" w:rsidRDefault="003A0D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Single-agent </w:t>
            </w:r>
            <w:proofErr w:type="spellStart"/>
            <w:r w:rsidRPr="00CE5519">
              <w:rPr>
                <w:sz w:val="18"/>
                <w:szCs w:val="18"/>
              </w:rPr>
              <w:t>Ifosfamide</w:t>
            </w:r>
            <w:proofErr w:type="spellEnd"/>
          </w:p>
        </w:tc>
        <w:tc>
          <w:tcPr>
            <w:tcW w:w="4085" w:type="dxa"/>
            <w:vAlign w:val="center"/>
          </w:tcPr>
          <w:p w14:paraId="14D336BB" w14:textId="26058960"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adjuvant/neoadjuvant therapy</w:t>
            </w:r>
            <w:r w:rsidR="003A0DC6" w:rsidRPr="00CE5519">
              <w:rPr>
                <w:sz w:val="18"/>
                <w:szCs w:val="18"/>
              </w:rPr>
              <w:t xml:space="preserve"> </w:t>
            </w:r>
            <w:r w:rsidRPr="00CE5519">
              <w:rPr>
                <w:sz w:val="18"/>
                <w:szCs w:val="18"/>
              </w:rPr>
              <w:t>we assumed the same dosing schedule for the individual drugs as in multi-drug combination treatments (</w:t>
            </w:r>
            <w:proofErr w:type="spellStart"/>
            <w:r w:rsidRPr="00CE5519">
              <w:rPr>
                <w:sz w:val="18"/>
                <w:szCs w:val="18"/>
              </w:rPr>
              <w:t>eg.</w:t>
            </w:r>
            <w:proofErr w:type="spellEnd"/>
            <w:r w:rsidRPr="00CE5519">
              <w:rPr>
                <w:sz w:val="18"/>
                <w:szCs w:val="18"/>
              </w:rPr>
              <w:t>, MAID) specified in the same guideline.</w:t>
            </w:r>
          </w:p>
        </w:tc>
        <w:tc>
          <w:tcPr>
            <w:tcW w:w="4230" w:type="dxa"/>
            <w:vAlign w:val="center"/>
          </w:tcPr>
          <w:p w14:paraId="05E769D8" w14:textId="75E49727" w:rsidR="001569C6" w:rsidRPr="00CE5519" w:rsidRDefault="003A0DC6"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34008, 34015, 34024, 34028, 34029, 34123, 34124, 34132</w:t>
            </w:r>
          </w:p>
        </w:tc>
      </w:tr>
      <w:tr w:rsidR="001569C6" w:rsidRPr="00CE5519" w14:paraId="14014F93"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0001746C" w14:textId="331548AB" w:rsidR="001569C6" w:rsidRPr="00CE5519" w:rsidRDefault="001569C6" w:rsidP="00CE5519">
            <w:pPr>
              <w:numPr>
                <w:ilvl w:val="0"/>
                <w:numId w:val="0"/>
              </w:numPr>
              <w:ind w:left="360"/>
              <w:rPr>
                <w:b w:val="0"/>
                <w:bCs w:val="0"/>
                <w:sz w:val="18"/>
                <w:szCs w:val="18"/>
              </w:rPr>
            </w:pPr>
            <w:r w:rsidRPr="00CE5519">
              <w:rPr>
                <w:b w:val="0"/>
                <w:bCs w:val="0"/>
                <w:sz w:val="18"/>
                <w:szCs w:val="18"/>
              </w:rPr>
              <w:t>Sarcoma (Soft Tissue)</w:t>
            </w:r>
          </w:p>
        </w:tc>
        <w:tc>
          <w:tcPr>
            <w:tcW w:w="3038" w:type="dxa"/>
            <w:vAlign w:val="center"/>
          </w:tcPr>
          <w:p w14:paraId="52DC0A88" w14:textId="30CAFA68" w:rsidR="001569C6" w:rsidRPr="00CE5519" w:rsidRDefault="003A0D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Sunitinib</w:t>
            </w:r>
          </w:p>
        </w:tc>
        <w:tc>
          <w:tcPr>
            <w:tcW w:w="4085" w:type="dxa"/>
            <w:vAlign w:val="center"/>
          </w:tcPr>
          <w:p w14:paraId="5E8CDF31" w14:textId="75F53BEC"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For GIST, the duration was assumed to be 3 years, to reflect the treatment duration specified for adjuvant imatinib. For neoadjuvant therapy duration we referred to UpToDate as NCCN did not specify duration.</w:t>
            </w:r>
          </w:p>
        </w:tc>
        <w:tc>
          <w:tcPr>
            <w:tcW w:w="4230" w:type="dxa"/>
            <w:vAlign w:val="center"/>
          </w:tcPr>
          <w:p w14:paraId="5D5B560E" w14:textId="3AD99C4F" w:rsidR="001569C6" w:rsidRPr="00CE5519" w:rsidRDefault="003A0DC6"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34038, 34040, 34043, 34107</w:t>
            </w:r>
          </w:p>
        </w:tc>
      </w:tr>
      <w:tr w:rsidR="001569C6" w:rsidRPr="00CE5519" w14:paraId="4EC4FEDA"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02F95E91" w14:textId="35C11620" w:rsidR="001569C6" w:rsidRPr="00CE5519" w:rsidRDefault="001569C6" w:rsidP="00CE5519">
            <w:pPr>
              <w:numPr>
                <w:ilvl w:val="0"/>
                <w:numId w:val="0"/>
              </w:numPr>
              <w:ind w:left="360"/>
              <w:rPr>
                <w:b w:val="0"/>
                <w:bCs w:val="0"/>
                <w:sz w:val="18"/>
                <w:szCs w:val="18"/>
              </w:rPr>
            </w:pPr>
            <w:r w:rsidRPr="00CE5519">
              <w:rPr>
                <w:b w:val="0"/>
                <w:bCs w:val="0"/>
                <w:sz w:val="18"/>
                <w:szCs w:val="18"/>
              </w:rPr>
              <w:t>Sarcoma (Soft Tissue)</w:t>
            </w:r>
          </w:p>
        </w:tc>
        <w:tc>
          <w:tcPr>
            <w:tcW w:w="3038" w:type="dxa"/>
            <w:vAlign w:val="center"/>
          </w:tcPr>
          <w:p w14:paraId="33AD9966" w14:textId="2FDA60BC" w:rsidR="001569C6" w:rsidRPr="00CE5519" w:rsidRDefault="005A51B3"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Carboplatin and etoposide</w:t>
            </w:r>
          </w:p>
        </w:tc>
        <w:tc>
          <w:tcPr>
            <w:tcW w:w="4085" w:type="dxa"/>
            <w:vAlign w:val="center"/>
          </w:tcPr>
          <w:p w14:paraId="25E2A4CB" w14:textId="77950807"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rhabdomyosarcoma, we inferred dosing from other cancers</w:t>
            </w:r>
          </w:p>
        </w:tc>
        <w:tc>
          <w:tcPr>
            <w:tcW w:w="4230" w:type="dxa"/>
            <w:vAlign w:val="center"/>
          </w:tcPr>
          <w:p w14:paraId="02D8B5D9" w14:textId="5CE2463E" w:rsidR="001569C6" w:rsidRPr="00CE5519" w:rsidRDefault="005A51B3"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34062</w:t>
            </w:r>
          </w:p>
        </w:tc>
      </w:tr>
      <w:tr w:rsidR="001569C6" w:rsidRPr="00CE5519" w14:paraId="321F2040"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7671D3CD" w14:textId="38235D54" w:rsidR="001569C6" w:rsidRPr="00CE5519" w:rsidRDefault="001569C6" w:rsidP="00CE5519">
            <w:pPr>
              <w:numPr>
                <w:ilvl w:val="0"/>
                <w:numId w:val="0"/>
              </w:numPr>
              <w:ind w:left="360"/>
              <w:rPr>
                <w:b w:val="0"/>
                <w:bCs w:val="0"/>
                <w:sz w:val="18"/>
                <w:szCs w:val="18"/>
              </w:rPr>
            </w:pPr>
            <w:r w:rsidRPr="00CE5519">
              <w:rPr>
                <w:b w:val="0"/>
                <w:bCs w:val="0"/>
                <w:sz w:val="18"/>
                <w:szCs w:val="18"/>
              </w:rPr>
              <w:t>Sarcoma (Soft Tissue)</w:t>
            </w:r>
          </w:p>
        </w:tc>
        <w:tc>
          <w:tcPr>
            <w:tcW w:w="3038" w:type="dxa"/>
            <w:vAlign w:val="center"/>
          </w:tcPr>
          <w:p w14:paraId="07D751D1" w14:textId="5E2BFA0A" w:rsidR="001569C6" w:rsidRPr="00CE5519" w:rsidRDefault="006C617E"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CE5519">
              <w:rPr>
                <w:sz w:val="18"/>
                <w:szCs w:val="18"/>
              </w:rPr>
              <w:t>Ifosfamide</w:t>
            </w:r>
            <w:proofErr w:type="spellEnd"/>
            <w:r w:rsidRPr="00CE5519">
              <w:rPr>
                <w:sz w:val="18"/>
                <w:szCs w:val="18"/>
              </w:rPr>
              <w:t xml:space="preserve"> and etoposide</w:t>
            </w:r>
          </w:p>
        </w:tc>
        <w:tc>
          <w:tcPr>
            <w:tcW w:w="4085" w:type="dxa"/>
            <w:vAlign w:val="center"/>
          </w:tcPr>
          <w:p w14:paraId="6A6A7998" w14:textId="6DB5812E"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For rhabdo</w:t>
            </w:r>
            <w:r w:rsidR="006C617E" w:rsidRPr="00CE5519">
              <w:rPr>
                <w:sz w:val="18"/>
                <w:szCs w:val="18"/>
              </w:rPr>
              <w:t>myo</w:t>
            </w:r>
            <w:r w:rsidRPr="00CE5519">
              <w:rPr>
                <w:sz w:val="18"/>
                <w:szCs w:val="18"/>
              </w:rPr>
              <w:t xml:space="preserve">sarcoma, we inferred </w:t>
            </w:r>
            <w:r w:rsidR="006C617E" w:rsidRPr="00CE5519">
              <w:rPr>
                <w:sz w:val="18"/>
                <w:szCs w:val="18"/>
              </w:rPr>
              <w:t xml:space="preserve">dosing </w:t>
            </w:r>
            <w:r w:rsidRPr="00CE5519">
              <w:rPr>
                <w:sz w:val="18"/>
                <w:szCs w:val="18"/>
              </w:rPr>
              <w:t>from other similar regimens</w:t>
            </w:r>
          </w:p>
        </w:tc>
        <w:tc>
          <w:tcPr>
            <w:tcW w:w="4230" w:type="dxa"/>
            <w:vAlign w:val="center"/>
          </w:tcPr>
          <w:p w14:paraId="11C79EAD" w14:textId="1A50CB08" w:rsidR="001569C6" w:rsidRPr="00CE5519" w:rsidRDefault="006C617E"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34067</w:t>
            </w:r>
          </w:p>
        </w:tc>
      </w:tr>
      <w:tr w:rsidR="001569C6" w:rsidRPr="00CE5519" w14:paraId="34A37B3C"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6F250313" w14:textId="4CEC43A7" w:rsidR="001569C6" w:rsidRPr="00CE5519" w:rsidRDefault="001569C6" w:rsidP="00CE5519">
            <w:pPr>
              <w:numPr>
                <w:ilvl w:val="0"/>
                <w:numId w:val="0"/>
              </w:numPr>
              <w:ind w:left="360"/>
              <w:rPr>
                <w:b w:val="0"/>
                <w:bCs w:val="0"/>
                <w:sz w:val="18"/>
                <w:szCs w:val="18"/>
              </w:rPr>
            </w:pPr>
            <w:r w:rsidRPr="00CE5519">
              <w:rPr>
                <w:b w:val="0"/>
                <w:bCs w:val="0"/>
                <w:sz w:val="18"/>
                <w:szCs w:val="18"/>
              </w:rPr>
              <w:t>Sarcoma (Soft Tissue)</w:t>
            </w:r>
          </w:p>
        </w:tc>
        <w:tc>
          <w:tcPr>
            <w:tcW w:w="3038" w:type="dxa"/>
            <w:vAlign w:val="center"/>
          </w:tcPr>
          <w:p w14:paraId="79F3E935" w14:textId="5AA77D42" w:rsidR="001569C6" w:rsidRPr="00CE5519" w:rsidRDefault="003627AF"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(VCD/IE) Vincristine, cyclophosphamide, dactinomycin/</w:t>
            </w:r>
            <w:proofErr w:type="spellStart"/>
            <w:r w:rsidRPr="00CE5519">
              <w:rPr>
                <w:sz w:val="18"/>
                <w:szCs w:val="18"/>
              </w:rPr>
              <w:t>ifosfamide</w:t>
            </w:r>
            <w:proofErr w:type="spellEnd"/>
            <w:r w:rsidRPr="00CE5519">
              <w:rPr>
                <w:sz w:val="18"/>
                <w:szCs w:val="18"/>
              </w:rPr>
              <w:t xml:space="preserve"> and etoposide</w:t>
            </w:r>
          </w:p>
        </w:tc>
        <w:tc>
          <w:tcPr>
            <w:tcW w:w="4085" w:type="dxa"/>
            <w:vAlign w:val="center"/>
          </w:tcPr>
          <w:p w14:paraId="1D469975" w14:textId="4955DEBE"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rhabdo</w:t>
            </w:r>
            <w:r w:rsidR="003627AF" w:rsidRPr="00CE5519">
              <w:rPr>
                <w:sz w:val="18"/>
                <w:szCs w:val="18"/>
              </w:rPr>
              <w:t>myo</w:t>
            </w:r>
            <w:r w:rsidRPr="00CE5519">
              <w:rPr>
                <w:sz w:val="18"/>
                <w:szCs w:val="18"/>
              </w:rPr>
              <w:t>sarcoma,</w:t>
            </w:r>
            <w:r w:rsidR="003627AF" w:rsidRPr="00CE5519">
              <w:rPr>
                <w:sz w:val="18"/>
                <w:szCs w:val="18"/>
              </w:rPr>
              <w:t xml:space="preserve"> </w:t>
            </w:r>
            <w:r w:rsidRPr="00CE5519">
              <w:rPr>
                <w:sz w:val="18"/>
                <w:szCs w:val="18"/>
              </w:rPr>
              <w:t>we assumed that</w:t>
            </w:r>
            <w:r w:rsidR="003627AF" w:rsidRPr="00CE5519">
              <w:rPr>
                <w:sz w:val="18"/>
                <w:szCs w:val="18"/>
              </w:rPr>
              <w:t xml:space="preserve"> the alternating regimen would rotate back to VCD on</w:t>
            </w:r>
            <w:r w:rsidRPr="00CE5519">
              <w:rPr>
                <w:sz w:val="18"/>
                <w:szCs w:val="18"/>
              </w:rPr>
              <w:t xml:space="preserve"> week 36</w:t>
            </w:r>
            <w:r w:rsidR="003627AF" w:rsidRPr="00CE5519">
              <w:rPr>
                <w:sz w:val="18"/>
                <w:szCs w:val="18"/>
              </w:rPr>
              <w:t xml:space="preserve"> of treatment</w:t>
            </w:r>
          </w:p>
        </w:tc>
        <w:tc>
          <w:tcPr>
            <w:tcW w:w="4230" w:type="dxa"/>
            <w:vAlign w:val="center"/>
          </w:tcPr>
          <w:p w14:paraId="3879D314" w14:textId="5E3891BB" w:rsidR="001569C6" w:rsidRPr="00CE5519" w:rsidRDefault="003627AF"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34074</w:t>
            </w:r>
          </w:p>
        </w:tc>
      </w:tr>
      <w:tr w:rsidR="001569C6" w:rsidRPr="00CE5519" w14:paraId="0A627D8A"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67E91ABB" w14:textId="6E102ADA" w:rsidR="001569C6" w:rsidRPr="00CE5519" w:rsidRDefault="001569C6" w:rsidP="00CE5519">
            <w:pPr>
              <w:numPr>
                <w:ilvl w:val="0"/>
                <w:numId w:val="0"/>
              </w:numPr>
              <w:ind w:left="360"/>
              <w:rPr>
                <w:b w:val="0"/>
                <w:bCs w:val="0"/>
                <w:sz w:val="18"/>
                <w:szCs w:val="18"/>
              </w:rPr>
            </w:pPr>
            <w:r w:rsidRPr="00CE5519">
              <w:rPr>
                <w:b w:val="0"/>
                <w:bCs w:val="0"/>
                <w:sz w:val="18"/>
                <w:szCs w:val="18"/>
              </w:rPr>
              <w:lastRenderedPageBreak/>
              <w:t>Sarcoma (Soft Tissue)</w:t>
            </w:r>
          </w:p>
        </w:tc>
        <w:tc>
          <w:tcPr>
            <w:tcW w:w="3038" w:type="dxa"/>
            <w:vAlign w:val="center"/>
          </w:tcPr>
          <w:p w14:paraId="74B36CD2" w14:textId="70AA2BC8" w:rsidR="001569C6" w:rsidRPr="00CE5519" w:rsidRDefault="000E09FA"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Sunitinib monotherapy</w:t>
            </w:r>
          </w:p>
        </w:tc>
        <w:tc>
          <w:tcPr>
            <w:tcW w:w="4085" w:type="dxa"/>
            <w:vAlign w:val="center"/>
          </w:tcPr>
          <w:p w14:paraId="22629BEB" w14:textId="4D5EEF19"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Sunitinib in the neoadjuvant setting are cycled </w:t>
            </w:r>
            <w:r w:rsidR="009369D7" w:rsidRPr="00CE5519">
              <w:rPr>
                <w:sz w:val="18"/>
                <w:szCs w:val="18"/>
              </w:rPr>
              <w:t>over</w:t>
            </w:r>
            <w:r w:rsidRPr="00CE5519">
              <w:rPr>
                <w:sz w:val="18"/>
                <w:szCs w:val="18"/>
              </w:rPr>
              <w:t xml:space="preserve"> 8 weeks; for the adjuvant setting cycled </w:t>
            </w:r>
            <w:r w:rsidR="009369D7" w:rsidRPr="00CE5519">
              <w:rPr>
                <w:sz w:val="18"/>
                <w:szCs w:val="18"/>
              </w:rPr>
              <w:t>over</w:t>
            </w:r>
            <w:r w:rsidRPr="00CE5519">
              <w:rPr>
                <w:sz w:val="18"/>
                <w:szCs w:val="18"/>
              </w:rPr>
              <w:t xml:space="preserve"> 2 years:</w:t>
            </w:r>
            <w:r w:rsidR="000E09FA" w:rsidRPr="00CE5519">
              <w:rPr>
                <w:sz w:val="18"/>
                <w:szCs w:val="18"/>
              </w:rPr>
              <w:t xml:space="preserve"> https://hemonc.org/wiki/Gastrointestinal_stromal_tumor#Sunitinib_monotherapy</w:t>
            </w:r>
          </w:p>
        </w:tc>
        <w:tc>
          <w:tcPr>
            <w:tcW w:w="4230" w:type="dxa"/>
            <w:vAlign w:val="center"/>
          </w:tcPr>
          <w:p w14:paraId="3C0441F1" w14:textId="6EC8B641" w:rsidR="001569C6" w:rsidRPr="00CE5519" w:rsidRDefault="001569C6"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34038, 34040, 34043</w:t>
            </w:r>
          </w:p>
        </w:tc>
      </w:tr>
      <w:tr w:rsidR="001569C6" w:rsidRPr="00CE5519" w14:paraId="5DBB0F1E"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7F76D971" w14:textId="2504CF3B" w:rsidR="001569C6" w:rsidRPr="00CE5519" w:rsidRDefault="001569C6" w:rsidP="00CE5519">
            <w:pPr>
              <w:numPr>
                <w:ilvl w:val="0"/>
                <w:numId w:val="0"/>
              </w:numPr>
              <w:ind w:left="360"/>
              <w:rPr>
                <w:b w:val="0"/>
                <w:bCs w:val="0"/>
                <w:sz w:val="18"/>
                <w:szCs w:val="18"/>
              </w:rPr>
            </w:pPr>
            <w:r w:rsidRPr="00CE5519">
              <w:rPr>
                <w:b w:val="0"/>
                <w:bCs w:val="0"/>
                <w:sz w:val="18"/>
                <w:szCs w:val="18"/>
              </w:rPr>
              <w:t>Sarcoma (Soft Tissue)</w:t>
            </w:r>
          </w:p>
        </w:tc>
        <w:tc>
          <w:tcPr>
            <w:tcW w:w="3038" w:type="dxa"/>
            <w:vAlign w:val="center"/>
          </w:tcPr>
          <w:p w14:paraId="0D80BABE" w14:textId="20D37013" w:rsidR="001569C6" w:rsidRPr="00CE5519" w:rsidRDefault="000E09FA"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CE5519">
              <w:rPr>
                <w:sz w:val="18"/>
                <w:szCs w:val="18"/>
              </w:rPr>
              <w:t>Everolimus</w:t>
            </w:r>
            <w:proofErr w:type="spellEnd"/>
            <w:r w:rsidRPr="00CE5519">
              <w:rPr>
                <w:sz w:val="18"/>
                <w:szCs w:val="18"/>
              </w:rPr>
              <w:t xml:space="preserve"> and regorafenib</w:t>
            </w:r>
          </w:p>
        </w:tc>
        <w:tc>
          <w:tcPr>
            <w:tcW w:w="4085" w:type="dxa"/>
            <w:vAlign w:val="center"/>
          </w:tcPr>
          <w:p w14:paraId="1E88B3B6" w14:textId="448EC866"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Dosing schedules for </w:t>
            </w:r>
            <w:proofErr w:type="spellStart"/>
            <w:r w:rsidRPr="00CE5519">
              <w:rPr>
                <w:sz w:val="18"/>
                <w:szCs w:val="18"/>
              </w:rPr>
              <w:t>everolimus</w:t>
            </w:r>
            <w:proofErr w:type="spellEnd"/>
            <w:r w:rsidRPr="00CE5519">
              <w:rPr>
                <w:sz w:val="18"/>
                <w:szCs w:val="18"/>
              </w:rPr>
              <w:t xml:space="preserve"> and regorafenib were inferred from common dosing schedules for other cancers.</w:t>
            </w:r>
          </w:p>
        </w:tc>
        <w:tc>
          <w:tcPr>
            <w:tcW w:w="4230" w:type="dxa"/>
            <w:vAlign w:val="center"/>
          </w:tcPr>
          <w:p w14:paraId="7D6318CB" w14:textId="34AAD336" w:rsidR="001569C6" w:rsidRPr="00CE5519" w:rsidRDefault="001569C6"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34049</w:t>
            </w:r>
          </w:p>
        </w:tc>
      </w:tr>
      <w:tr w:rsidR="001569C6" w:rsidRPr="00CE5519" w14:paraId="1BC0E05A"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6C3FD6F9" w14:textId="18759683" w:rsidR="001569C6" w:rsidRPr="00CE5519" w:rsidRDefault="001569C6" w:rsidP="00CE5519">
            <w:pPr>
              <w:numPr>
                <w:ilvl w:val="0"/>
                <w:numId w:val="0"/>
              </w:numPr>
              <w:ind w:left="360"/>
              <w:rPr>
                <w:b w:val="0"/>
                <w:bCs w:val="0"/>
                <w:sz w:val="18"/>
                <w:szCs w:val="18"/>
              </w:rPr>
            </w:pPr>
            <w:r w:rsidRPr="00CE5519">
              <w:rPr>
                <w:b w:val="0"/>
                <w:bCs w:val="0"/>
                <w:sz w:val="18"/>
                <w:szCs w:val="18"/>
              </w:rPr>
              <w:t>Sarcoma (Soft Tissue)</w:t>
            </w:r>
          </w:p>
        </w:tc>
        <w:tc>
          <w:tcPr>
            <w:tcW w:w="3038" w:type="dxa"/>
            <w:vAlign w:val="center"/>
          </w:tcPr>
          <w:p w14:paraId="68270FEE" w14:textId="337124F2" w:rsidR="001569C6" w:rsidRPr="00CE5519" w:rsidRDefault="000E09FA"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CE5519">
              <w:rPr>
                <w:sz w:val="18"/>
                <w:szCs w:val="18"/>
              </w:rPr>
              <w:t>Everolimus</w:t>
            </w:r>
            <w:proofErr w:type="spellEnd"/>
            <w:r w:rsidRPr="00CE5519">
              <w:rPr>
                <w:sz w:val="18"/>
                <w:szCs w:val="18"/>
              </w:rPr>
              <w:t xml:space="preserve"> and sunitinib</w:t>
            </w:r>
          </w:p>
        </w:tc>
        <w:tc>
          <w:tcPr>
            <w:tcW w:w="4085" w:type="dxa"/>
            <w:vAlign w:val="center"/>
          </w:tcPr>
          <w:p w14:paraId="3D9B18DE" w14:textId="721BD589"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 xml:space="preserve">Dosing schedules for </w:t>
            </w:r>
            <w:proofErr w:type="spellStart"/>
            <w:r w:rsidRPr="00CE5519">
              <w:rPr>
                <w:sz w:val="18"/>
                <w:szCs w:val="18"/>
              </w:rPr>
              <w:t>everolimus</w:t>
            </w:r>
            <w:proofErr w:type="spellEnd"/>
            <w:r w:rsidRPr="00CE5519">
              <w:rPr>
                <w:sz w:val="18"/>
                <w:szCs w:val="18"/>
              </w:rPr>
              <w:t xml:space="preserve"> was inferred from common dosing schedules for other cancers. Dosing for sunitinib was inferred from the following trial: https://www.ncbi.nlm.nih.gov/pubmed?term=19451429</w:t>
            </w:r>
          </w:p>
        </w:tc>
        <w:tc>
          <w:tcPr>
            <w:tcW w:w="4230" w:type="dxa"/>
            <w:vAlign w:val="center"/>
          </w:tcPr>
          <w:p w14:paraId="0215DCB6" w14:textId="30DBE095" w:rsidR="001569C6" w:rsidRPr="00CE5519" w:rsidRDefault="001569C6"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34050</w:t>
            </w:r>
          </w:p>
        </w:tc>
      </w:tr>
      <w:tr w:rsidR="001569C6" w:rsidRPr="00CE5519" w14:paraId="056A0587"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516B92F2" w14:textId="7E4378AF" w:rsidR="001569C6" w:rsidRPr="00CE5519" w:rsidRDefault="001569C6" w:rsidP="00CE5519">
            <w:pPr>
              <w:numPr>
                <w:ilvl w:val="0"/>
                <w:numId w:val="0"/>
              </w:numPr>
              <w:ind w:left="360"/>
              <w:rPr>
                <w:b w:val="0"/>
                <w:bCs w:val="0"/>
                <w:sz w:val="18"/>
                <w:szCs w:val="18"/>
              </w:rPr>
            </w:pPr>
            <w:r w:rsidRPr="00CE5519">
              <w:rPr>
                <w:b w:val="0"/>
                <w:bCs w:val="0"/>
                <w:sz w:val="18"/>
                <w:szCs w:val="18"/>
              </w:rPr>
              <w:t>Uterine</w:t>
            </w:r>
          </w:p>
        </w:tc>
        <w:tc>
          <w:tcPr>
            <w:tcW w:w="3038" w:type="dxa"/>
            <w:vAlign w:val="center"/>
          </w:tcPr>
          <w:p w14:paraId="26F12BE0" w14:textId="7F92FD21" w:rsidR="001569C6" w:rsidRPr="00CE5519" w:rsidRDefault="0036529E"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CE5519">
              <w:rPr>
                <w:sz w:val="18"/>
                <w:szCs w:val="18"/>
              </w:rPr>
              <w:t>Progestational</w:t>
            </w:r>
            <w:proofErr w:type="spellEnd"/>
            <w:r w:rsidRPr="00CE5519">
              <w:rPr>
                <w:sz w:val="18"/>
                <w:szCs w:val="18"/>
              </w:rPr>
              <w:t xml:space="preserve"> agents</w:t>
            </w:r>
          </w:p>
        </w:tc>
        <w:tc>
          <w:tcPr>
            <w:tcW w:w="4085" w:type="dxa"/>
            <w:vAlign w:val="center"/>
          </w:tcPr>
          <w:p w14:paraId="0D2D01AD" w14:textId="1FCF8C70"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 xml:space="preserve">For </w:t>
            </w:r>
            <w:r w:rsidR="0036529E" w:rsidRPr="00CE5519">
              <w:rPr>
                <w:sz w:val="18"/>
                <w:szCs w:val="18"/>
              </w:rPr>
              <w:t xml:space="preserve">these treatments </w:t>
            </w:r>
            <w:r w:rsidRPr="00CE5519">
              <w:rPr>
                <w:sz w:val="18"/>
                <w:szCs w:val="18"/>
              </w:rPr>
              <w:t>we presumed progesterone would be used</w:t>
            </w:r>
          </w:p>
        </w:tc>
        <w:tc>
          <w:tcPr>
            <w:tcW w:w="4230" w:type="dxa"/>
            <w:vAlign w:val="center"/>
          </w:tcPr>
          <w:p w14:paraId="12A60066" w14:textId="3EEAC1A4" w:rsidR="001569C6" w:rsidRPr="00CE5519" w:rsidRDefault="0036529E"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36027, 36120, 36124</w:t>
            </w:r>
          </w:p>
        </w:tc>
      </w:tr>
      <w:tr w:rsidR="001569C6" w:rsidRPr="00CE5519" w14:paraId="524DFBAF"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4F62AF8F" w14:textId="4699A3CB" w:rsidR="001569C6" w:rsidRPr="00CE5519" w:rsidRDefault="001569C6" w:rsidP="00CE5519">
            <w:pPr>
              <w:numPr>
                <w:ilvl w:val="0"/>
                <w:numId w:val="0"/>
              </w:numPr>
              <w:ind w:left="360"/>
              <w:rPr>
                <w:b w:val="0"/>
                <w:bCs w:val="0"/>
                <w:sz w:val="18"/>
                <w:szCs w:val="18"/>
              </w:rPr>
            </w:pPr>
            <w:r w:rsidRPr="00CE5519">
              <w:rPr>
                <w:b w:val="0"/>
                <w:bCs w:val="0"/>
                <w:sz w:val="18"/>
                <w:szCs w:val="18"/>
              </w:rPr>
              <w:t>Uterine</w:t>
            </w:r>
          </w:p>
        </w:tc>
        <w:tc>
          <w:tcPr>
            <w:tcW w:w="3038" w:type="dxa"/>
            <w:vAlign w:val="center"/>
          </w:tcPr>
          <w:p w14:paraId="17F5DE8A" w14:textId="4505E3E2" w:rsidR="001569C6" w:rsidRPr="00CE5519" w:rsidRDefault="0036529E"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c>
          <w:tcPr>
            <w:tcW w:w="4085" w:type="dxa"/>
            <w:vAlign w:val="center"/>
          </w:tcPr>
          <w:p w14:paraId="4E670296" w14:textId="0F2D87AE"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We assumed adjuvant therapy would last for 3 cycles for intermediate risk, and 6 cycles for high risk.</w:t>
            </w:r>
          </w:p>
        </w:tc>
        <w:tc>
          <w:tcPr>
            <w:tcW w:w="4230" w:type="dxa"/>
            <w:vAlign w:val="center"/>
          </w:tcPr>
          <w:p w14:paraId="60DB2602" w14:textId="192351B6" w:rsidR="001569C6" w:rsidRPr="00CE5519" w:rsidRDefault="000E09FA"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r>
      <w:tr w:rsidR="001569C6" w:rsidRPr="00CE5519" w14:paraId="38A2AF81" w14:textId="77777777" w:rsidTr="00CE5519">
        <w:tc>
          <w:tcPr>
            <w:cnfStyle w:val="001000000000" w:firstRow="0" w:lastRow="0" w:firstColumn="1" w:lastColumn="0" w:oddVBand="0" w:evenVBand="0" w:oddHBand="0" w:evenHBand="0" w:firstRowFirstColumn="0" w:firstRowLastColumn="0" w:lastRowFirstColumn="0" w:lastRowLastColumn="0"/>
            <w:tcW w:w="1607" w:type="dxa"/>
            <w:vAlign w:val="center"/>
          </w:tcPr>
          <w:p w14:paraId="14BD4411" w14:textId="60BAC506" w:rsidR="001569C6" w:rsidRPr="00CE5519" w:rsidRDefault="001569C6" w:rsidP="00CE5519">
            <w:pPr>
              <w:numPr>
                <w:ilvl w:val="0"/>
                <w:numId w:val="0"/>
              </w:numPr>
              <w:ind w:left="360"/>
              <w:rPr>
                <w:b w:val="0"/>
                <w:bCs w:val="0"/>
                <w:sz w:val="18"/>
                <w:szCs w:val="18"/>
              </w:rPr>
            </w:pPr>
            <w:r w:rsidRPr="00CE5519">
              <w:rPr>
                <w:b w:val="0"/>
                <w:bCs w:val="0"/>
                <w:sz w:val="18"/>
                <w:szCs w:val="18"/>
              </w:rPr>
              <w:t>Uterine</w:t>
            </w:r>
          </w:p>
        </w:tc>
        <w:tc>
          <w:tcPr>
            <w:tcW w:w="3038" w:type="dxa"/>
            <w:vAlign w:val="center"/>
          </w:tcPr>
          <w:p w14:paraId="3BE8EB56" w14:textId="0E04298D" w:rsidR="001569C6" w:rsidRPr="00CE5519" w:rsidRDefault="0036529E"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c>
          <w:tcPr>
            <w:tcW w:w="4085" w:type="dxa"/>
            <w:vAlign w:val="center"/>
          </w:tcPr>
          <w:p w14:paraId="71990DB1" w14:textId="78255476" w:rsidR="001569C6" w:rsidRPr="00CE5519" w:rsidRDefault="001569C6" w:rsidP="005D1B5B">
            <w:pPr>
              <w:numPr>
                <w:ilvl w:val="0"/>
                <w:numId w:val="0"/>
              </w:numPr>
              <w:ind w:left="360"/>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adjuvant therapy, drug dosing was inferred from advanced/metastatic regimens.</w:t>
            </w:r>
          </w:p>
        </w:tc>
        <w:tc>
          <w:tcPr>
            <w:tcW w:w="4230" w:type="dxa"/>
            <w:vAlign w:val="center"/>
          </w:tcPr>
          <w:p w14:paraId="17AF3C22" w14:textId="7B02641E" w:rsidR="001569C6" w:rsidRPr="00CE5519" w:rsidRDefault="000E09FA" w:rsidP="00CE5519">
            <w:pPr>
              <w:numPr>
                <w:ilvl w:val="0"/>
                <w:numId w:val="0"/>
              </w:numPr>
              <w:ind w:left="360"/>
              <w:jc w:val="cente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w:t>
            </w:r>
          </w:p>
        </w:tc>
      </w:tr>
      <w:tr w:rsidR="001569C6" w:rsidRPr="00CE5519" w14:paraId="17B4CAB5" w14:textId="77777777" w:rsidTr="00CE5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7" w:type="dxa"/>
            <w:vAlign w:val="center"/>
          </w:tcPr>
          <w:p w14:paraId="5433C8D2" w14:textId="4B26388A" w:rsidR="001569C6" w:rsidRPr="00CE5519" w:rsidRDefault="001569C6" w:rsidP="00CE5519">
            <w:pPr>
              <w:numPr>
                <w:ilvl w:val="0"/>
                <w:numId w:val="0"/>
              </w:numPr>
              <w:ind w:left="360"/>
              <w:rPr>
                <w:b w:val="0"/>
                <w:bCs w:val="0"/>
                <w:sz w:val="18"/>
                <w:szCs w:val="18"/>
              </w:rPr>
            </w:pPr>
            <w:r w:rsidRPr="00CE5519">
              <w:rPr>
                <w:b w:val="0"/>
                <w:bCs w:val="0"/>
                <w:sz w:val="18"/>
                <w:szCs w:val="18"/>
              </w:rPr>
              <w:t>Uterine</w:t>
            </w:r>
          </w:p>
        </w:tc>
        <w:tc>
          <w:tcPr>
            <w:tcW w:w="3038" w:type="dxa"/>
            <w:vAlign w:val="center"/>
          </w:tcPr>
          <w:p w14:paraId="61ABFBC6" w14:textId="50BAAE89" w:rsidR="001569C6" w:rsidRPr="00CE5519" w:rsidRDefault="0036529E"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c>
          <w:tcPr>
            <w:tcW w:w="4085" w:type="dxa"/>
            <w:vAlign w:val="center"/>
          </w:tcPr>
          <w:p w14:paraId="1DE6D2D1" w14:textId="1453E1C6" w:rsidR="001569C6" w:rsidRPr="00CE5519" w:rsidRDefault="001569C6" w:rsidP="005D1B5B">
            <w:pPr>
              <w:numPr>
                <w:ilvl w:val="0"/>
                <w:numId w:val="0"/>
              </w:numPr>
              <w:ind w:left="360"/>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For advanced/metastatic disease we assumed that systemic therapy would continue for a maximum of 7 cycles, based on the results of two pivotal trials, GOG 209 (https://www.gynecologiconcology-online.net/article/S0090-8258(12)00228-4/abstract) and GOG 177 (https://www.ncbi.nlm.nih.gov/pubmed?term=15169803)</w:t>
            </w:r>
          </w:p>
        </w:tc>
        <w:tc>
          <w:tcPr>
            <w:tcW w:w="4230" w:type="dxa"/>
            <w:vAlign w:val="center"/>
          </w:tcPr>
          <w:p w14:paraId="3B326761" w14:textId="25C7CB29" w:rsidR="001569C6" w:rsidRPr="00CE5519" w:rsidRDefault="000E09FA" w:rsidP="00CE5519">
            <w:pPr>
              <w:numPr>
                <w:ilvl w:val="0"/>
                <w:numId w:val="0"/>
              </w:numPr>
              <w:ind w:left="360"/>
              <w:jc w:val="center"/>
              <w:cnfStyle w:val="000000100000" w:firstRow="0" w:lastRow="0" w:firstColumn="0" w:lastColumn="0" w:oddVBand="0" w:evenVBand="0" w:oddHBand="1" w:evenHBand="0" w:firstRowFirstColumn="0" w:firstRowLastColumn="0" w:lastRowFirstColumn="0" w:lastRowLastColumn="0"/>
              <w:rPr>
                <w:sz w:val="18"/>
                <w:szCs w:val="18"/>
              </w:rPr>
            </w:pPr>
            <w:r w:rsidRPr="00CE5519">
              <w:rPr>
                <w:sz w:val="18"/>
                <w:szCs w:val="18"/>
              </w:rPr>
              <w:t>-</w:t>
            </w:r>
          </w:p>
        </w:tc>
      </w:tr>
    </w:tbl>
    <w:p w14:paraId="14DC8A49" w14:textId="60840257" w:rsidR="000E09FA" w:rsidRPr="00105CBF" w:rsidRDefault="000E09FA" w:rsidP="00743ED7">
      <w:pPr>
        <w:numPr>
          <w:ilvl w:val="0"/>
          <w:numId w:val="0"/>
        </w:numPr>
        <w:sectPr w:rsidR="000E09FA" w:rsidRPr="00105CBF" w:rsidSect="00696307">
          <w:pgSz w:w="15840" w:h="12240" w:orient="landscape"/>
          <w:pgMar w:top="1440" w:right="1440" w:bottom="1440" w:left="1440" w:header="720" w:footer="720" w:gutter="0"/>
          <w:cols w:space="720"/>
          <w:docGrid w:linePitch="360"/>
        </w:sectPr>
      </w:pPr>
    </w:p>
    <w:p w14:paraId="2EB319A4" w14:textId="56A14B38" w:rsidR="00EF347B" w:rsidRPr="00CE5519" w:rsidRDefault="00EF347B" w:rsidP="00CE5519">
      <w:pPr>
        <w:pStyle w:val="Heading1"/>
        <w:numPr>
          <w:ilvl w:val="0"/>
          <w:numId w:val="0"/>
        </w:numPr>
        <w:rPr>
          <w:rFonts w:ascii="Arial" w:hAnsi="Arial" w:cs="Arial"/>
          <w:u w:val="single"/>
        </w:rPr>
      </w:pPr>
      <w:bookmarkStart w:id="30" w:name="_Toc194582597"/>
      <w:r w:rsidRPr="00CE5519">
        <w:rPr>
          <w:rFonts w:ascii="Arial" w:hAnsi="Arial" w:cs="Arial"/>
          <w:color w:val="auto"/>
          <w:u w:val="single"/>
        </w:rPr>
        <w:lastRenderedPageBreak/>
        <w:t xml:space="preserve">Supportive </w:t>
      </w:r>
      <w:r w:rsidR="004221C8" w:rsidRPr="00CE5519">
        <w:rPr>
          <w:rFonts w:ascii="Arial" w:hAnsi="Arial" w:cs="Arial"/>
          <w:color w:val="auto"/>
          <w:u w:val="single"/>
        </w:rPr>
        <w:t>C</w:t>
      </w:r>
      <w:r w:rsidRPr="00CE5519">
        <w:rPr>
          <w:rFonts w:ascii="Arial" w:hAnsi="Arial" w:cs="Arial"/>
          <w:color w:val="auto"/>
          <w:u w:val="single"/>
        </w:rPr>
        <w:t>are</w:t>
      </w:r>
      <w:bookmarkEnd w:id="30"/>
    </w:p>
    <w:p w14:paraId="27EB7A2D" w14:textId="77777777" w:rsidR="00EF347B" w:rsidRDefault="00EF347B" w:rsidP="00EF347B">
      <w:pPr>
        <w:pStyle w:val="NoSpacing"/>
        <w:rPr>
          <w:rFonts w:ascii="Arial" w:hAnsi="Arial" w:cs="Arial"/>
          <w:bCs/>
          <w:highlight w:val="yellow"/>
        </w:rPr>
      </w:pPr>
    </w:p>
    <w:p w14:paraId="0FBAE2C6" w14:textId="24AC8480" w:rsidR="00EF347B" w:rsidRDefault="00EF347B" w:rsidP="00EF347B">
      <w:pPr>
        <w:pStyle w:val="NoSpacing"/>
        <w:rPr>
          <w:rFonts w:ascii="Arial" w:hAnsi="Arial" w:cs="Arial"/>
          <w:bCs/>
        </w:rPr>
      </w:pPr>
      <w:r w:rsidRPr="00955C6C">
        <w:rPr>
          <w:rFonts w:ascii="Arial" w:hAnsi="Arial" w:cs="Arial"/>
          <w:bCs/>
        </w:rPr>
        <w:t>The following citations were used to ascertain neutropenic fever risk levels</w:t>
      </w:r>
    </w:p>
    <w:p w14:paraId="1CCA23D6" w14:textId="77777777" w:rsidR="004D0DFE" w:rsidRPr="00955C6C" w:rsidRDefault="004D0DFE" w:rsidP="00EF347B">
      <w:pPr>
        <w:pStyle w:val="NoSpacing"/>
        <w:rPr>
          <w:rFonts w:ascii="Arial" w:hAnsi="Arial" w:cs="Arial"/>
          <w:bCs/>
        </w:rPr>
      </w:pPr>
    </w:p>
    <w:tbl>
      <w:tblPr>
        <w:tblStyle w:val="ListTable2-Accent3"/>
        <w:tblW w:w="0" w:type="auto"/>
        <w:tblLayout w:type="fixed"/>
        <w:tblLook w:val="04A0" w:firstRow="1" w:lastRow="0" w:firstColumn="1" w:lastColumn="0" w:noHBand="0" w:noVBand="1"/>
      </w:tblPr>
      <w:tblGrid>
        <w:gridCol w:w="2605"/>
        <w:gridCol w:w="2723"/>
        <w:gridCol w:w="2340"/>
        <w:gridCol w:w="4590"/>
      </w:tblGrid>
      <w:tr w:rsidR="0048205E" w:rsidRPr="0036529E" w14:paraId="0E7623B5" w14:textId="77777777" w:rsidTr="0048205E">
        <w:trPr>
          <w:cnfStyle w:val="100000000000" w:firstRow="1" w:lastRow="0" w:firstColumn="0" w:lastColumn="0" w:oddVBand="0" w:evenVBand="0" w:oddHBand="0"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2605" w:type="dxa"/>
            <w:tcBorders>
              <w:top w:val="single" w:sz="4" w:space="0" w:color="FFFFFF" w:themeColor="background1"/>
              <w:left w:val="single" w:sz="4" w:space="0" w:color="FFFFFF" w:themeColor="background1"/>
              <w:right w:val="single" w:sz="4" w:space="0" w:color="FFFFFF" w:themeColor="background1"/>
            </w:tcBorders>
          </w:tcPr>
          <w:p w14:paraId="0F9A71EA" w14:textId="16DAF4A2" w:rsidR="00EF347B" w:rsidRPr="004D0DFE" w:rsidRDefault="00EF347B" w:rsidP="0048205E">
            <w:pPr>
              <w:pStyle w:val="NoSpacing"/>
              <w:rPr>
                <w:rFonts w:ascii="Arial" w:hAnsi="Arial" w:cs="Arial"/>
                <w:b w:val="0"/>
                <w:sz w:val="20"/>
                <w:szCs w:val="20"/>
              </w:rPr>
            </w:pPr>
            <w:r w:rsidRPr="004D0DFE">
              <w:rPr>
                <w:rFonts w:ascii="Arial" w:hAnsi="Arial" w:cs="Arial"/>
                <w:sz w:val="20"/>
                <w:szCs w:val="20"/>
              </w:rPr>
              <w:t>Cancer</w:t>
            </w:r>
            <w:r w:rsidR="00725EBD" w:rsidRPr="004D0DFE">
              <w:rPr>
                <w:rFonts w:ascii="Arial" w:hAnsi="Arial" w:cs="Arial"/>
                <w:sz w:val="20"/>
                <w:szCs w:val="20"/>
              </w:rPr>
              <w:t xml:space="preserve"> Type</w:t>
            </w:r>
          </w:p>
        </w:tc>
        <w:tc>
          <w:tcPr>
            <w:tcW w:w="2723" w:type="dxa"/>
            <w:tcBorders>
              <w:top w:val="single" w:sz="4" w:space="0" w:color="FFFFFF" w:themeColor="background1"/>
              <w:left w:val="single" w:sz="4" w:space="0" w:color="FFFFFF" w:themeColor="background1"/>
              <w:right w:val="single" w:sz="4" w:space="0" w:color="FFFFFF" w:themeColor="background1"/>
            </w:tcBorders>
          </w:tcPr>
          <w:p w14:paraId="3310E963" w14:textId="414AD989" w:rsidR="00EF347B" w:rsidRPr="004D0DFE" w:rsidRDefault="00725EBD" w:rsidP="0048205E">
            <w:pPr>
              <w:pStyle w:val="NoSpacing"/>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4D0DFE">
              <w:rPr>
                <w:rFonts w:ascii="Arial" w:hAnsi="Arial" w:cs="Arial"/>
                <w:sz w:val="20"/>
                <w:szCs w:val="20"/>
              </w:rPr>
              <w:t>Regimen</w:t>
            </w:r>
          </w:p>
        </w:tc>
        <w:tc>
          <w:tcPr>
            <w:tcW w:w="2340" w:type="dxa"/>
            <w:tcBorders>
              <w:top w:val="single" w:sz="4" w:space="0" w:color="FFFFFF" w:themeColor="background1"/>
              <w:left w:val="single" w:sz="4" w:space="0" w:color="FFFFFF" w:themeColor="background1"/>
              <w:right w:val="single" w:sz="4" w:space="0" w:color="FFFFFF" w:themeColor="background1"/>
            </w:tcBorders>
          </w:tcPr>
          <w:p w14:paraId="2AD64A77" w14:textId="77777777" w:rsidR="00EF347B" w:rsidRPr="004D0DFE" w:rsidRDefault="00EF347B" w:rsidP="00725EBD">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4D0DFE">
              <w:rPr>
                <w:rFonts w:ascii="Arial" w:hAnsi="Arial" w:cs="Arial"/>
                <w:sz w:val="20"/>
                <w:szCs w:val="20"/>
              </w:rPr>
              <w:t>NF risk</w:t>
            </w:r>
          </w:p>
        </w:tc>
        <w:tc>
          <w:tcPr>
            <w:tcW w:w="4590" w:type="dxa"/>
            <w:tcBorders>
              <w:top w:val="single" w:sz="4" w:space="0" w:color="FFFFFF" w:themeColor="background1"/>
              <w:left w:val="single" w:sz="4" w:space="0" w:color="FFFFFF" w:themeColor="background1"/>
              <w:right w:val="single" w:sz="4" w:space="0" w:color="FFFFFF" w:themeColor="background1"/>
            </w:tcBorders>
          </w:tcPr>
          <w:p w14:paraId="79F3865A" w14:textId="77777777" w:rsidR="00EF347B" w:rsidRPr="004D0DFE" w:rsidRDefault="00EF347B" w:rsidP="00725EBD">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4D0DFE">
              <w:rPr>
                <w:rFonts w:ascii="Arial" w:hAnsi="Arial" w:cs="Arial"/>
                <w:sz w:val="20"/>
                <w:szCs w:val="20"/>
              </w:rPr>
              <w:t>Citation</w:t>
            </w:r>
          </w:p>
        </w:tc>
      </w:tr>
      <w:tr w:rsidR="004221C8" w:rsidRPr="0036529E" w14:paraId="34EAE2CB" w14:textId="77777777" w:rsidTr="00482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vAlign w:val="center"/>
          </w:tcPr>
          <w:p w14:paraId="2898E309" w14:textId="3B6C7C2E" w:rsidR="004221C8" w:rsidRPr="004221C8" w:rsidRDefault="004221C8" w:rsidP="00357D8A">
            <w:pPr>
              <w:pStyle w:val="NoSpacing"/>
              <w:rPr>
                <w:rFonts w:ascii="Arial" w:hAnsi="Arial" w:cs="Arial"/>
                <w:sz w:val="18"/>
                <w:szCs w:val="18"/>
              </w:rPr>
            </w:pPr>
            <w:r w:rsidRPr="004221C8">
              <w:rPr>
                <w:rFonts w:ascii="Arial" w:hAnsi="Arial" w:cs="Arial"/>
                <w:b w:val="0"/>
                <w:bCs w:val="0"/>
                <w:sz w:val="18"/>
                <w:szCs w:val="18"/>
              </w:rPr>
              <w:t>Bladder</w:t>
            </w:r>
          </w:p>
        </w:tc>
        <w:tc>
          <w:tcPr>
            <w:tcW w:w="2723" w:type="dxa"/>
            <w:vAlign w:val="center"/>
          </w:tcPr>
          <w:p w14:paraId="0C4AA5EB" w14:textId="67BFDB07" w:rsidR="004221C8" w:rsidRPr="004221C8" w:rsidRDefault="004221C8" w:rsidP="0036529E">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roofErr w:type="spellStart"/>
            <w:r w:rsidRPr="004221C8">
              <w:rPr>
                <w:rFonts w:ascii="Arial" w:hAnsi="Arial" w:cs="Arial"/>
                <w:bCs/>
                <w:sz w:val="18"/>
                <w:szCs w:val="18"/>
              </w:rPr>
              <w:t>Enfortumab</w:t>
            </w:r>
            <w:proofErr w:type="spellEnd"/>
            <w:r w:rsidRPr="004221C8">
              <w:rPr>
                <w:rFonts w:ascii="Arial" w:hAnsi="Arial" w:cs="Arial"/>
                <w:bCs/>
                <w:sz w:val="18"/>
                <w:szCs w:val="18"/>
              </w:rPr>
              <w:t xml:space="preserve"> </w:t>
            </w:r>
            <w:proofErr w:type="spellStart"/>
            <w:r w:rsidRPr="004221C8">
              <w:rPr>
                <w:rFonts w:ascii="Arial" w:hAnsi="Arial" w:cs="Arial"/>
                <w:bCs/>
                <w:sz w:val="18"/>
                <w:szCs w:val="18"/>
              </w:rPr>
              <w:t>vedotin</w:t>
            </w:r>
            <w:proofErr w:type="spellEnd"/>
          </w:p>
        </w:tc>
        <w:tc>
          <w:tcPr>
            <w:tcW w:w="2340" w:type="dxa"/>
            <w:vAlign w:val="center"/>
          </w:tcPr>
          <w:p w14:paraId="26CBCD16" w14:textId="6506A6DF" w:rsidR="004221C8" w:rsidRPr="004221C8" w:rsidRDefault="004221C8" w:rsidP="0036529E">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4221C8">
              <w:rPr>
                <w:rFonts w:ascii="Arial" w:hAnsi="Arial" w:cs="Arial"/>
                <w:bCs/>
                <w:sz w:val="18"/>
                <w:szCs w:val="18"/>
              </w:rPr>
              <w:t>Low</w:t>
            </w:r>
          </w:p>
        </w:tc>
        <w:tc>
          <w:tcPr>
            <w:tcW w:w="4590" w:type="dxa"/>
            <w:vAlign w:val="center"/>
          </w:tcPr>
          <w:p w14:paraId="73879EFA" w14:textId="169CBA27" w:rsidR="004221C8" w:rsidRPr="004221C8" w:rsidRDefault="005D084B" w:rsidP="00357D8A">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hyperlink r:id="rId23" w:history="1">
              <w:r w:rsidR="004221C8" w:rsidRPr="004221C8">
                <w:rPr>
                  <w:rStyle w:val="Hyperlink"/>
                  <w:rFonts w:ascii="Arial" w:hAnsi="Arial" w:cs="Arial"/>
                  <w:sz w:val="18"/>
                  <w:szCs w:val="18"/>
                </w:rPr>
                <w:t>https://pubmed.ncbi.nlm.nih.gov/31356140/</w:t>
              </w:r>
            </w:hyperlink>
            <w:r w:rsidR="004221C8" w:rsidRPr="004221C8">
              <w:rPr>
                <w:rFonts w:ascii="Arial" w:hAnsi="Arial" w:cs="Arial"/>
                <w:sz w:val="18"/>
                <w:szCs w:val="18"/>
              </w:rPr>
              <w:t xml:space="preserve"> </w:t>
            </w:r>
          </w:p>
        </w:tc>
      </w:tr>
      <w:tr w:rsidR="00EF347B" w:rsidRPr="0036529E" w14:paraId="76DE5448" w14:textId="77777777" w:rsidTr="0048205E">
        <w:tc>
          <w:tcPr>
            <w:cnfStyle w:val="001000000000" w:firstRow="0" w:lastRow="0" w:firstColumn="1" w:lastColumn="0" w:oddVBand="0" w:evenVBand="0" w:oddHBand="0" w:evenHBand="0" w:firstRowFirstColumn="0" w:firstRowLastColumn="0" w:lastRowFirstColumn="0" w:lastRowLastColumn="0"/>
            <w:tcW w:w="2605" w:type="dxa"/>
            <w:vAlign w:val="center"/>
          </w:tcPr>
          <w:p w14:paraId="654497B7" w14:textId="50C699B3" w:rsidR="00EF347B" w:rsidRPr="004D0DFE" w:rsidRDefault="00EF347B" w:rsidP="00357D8A">
            <w:pPr>
              <w:pStyle w:val="NoSpacing"/>
              <w:rPr>
                <w:rFonts w:ascii="Arial" w:hAnsi="Arial" w:cs="Arial"/>
                <w:b w:val="0"/>
                <w:bCs w:val="0"/>
                <w:sz w:val="18"/>
                <w:szCs w:val="18"/>
              </w:rPr>
            </w:pPr>
            <w:r w:rsidRPr="004D0DFE">
              <w:rPr>
                <w:rFonts w:ascii="Arial" w:hAnsi="Arial" w:cs="Arial"/>
                <w:b w:val="0"/>
                <w:bCs w:val="0"/>
                <w:sz w:val="18"/>
                <w:szCs w:val="18"/>
              </w:rPr>
              <w:t xml:space="preserve">Hodgkin </w:t>
            </w:r>
            <w:r w:rsidR="009E3611">
              <w:rPr>
                <w:rFonts w:ascii="Arial" w:hAnsi="Arial" w:cs="Arial"/>
                <w:b w:val="0"/>
                <w:bCs w:val="0"/>
                <w:sz w:val="18"/>
                <w:szCs w:val="18"/>
              </w:rPr>
              <w:t>L</w:t>
            </w:r>
            <w:r w:rsidRPr="004D0DFE">
              <w:rPr>
                <w:rFonts w:ascii="Arial" w:hAnsi="Arial" w:cs="Arial"/>
                <w:b w:val="0"/>
                <w:bCs w:val="0"/>
                <w:sz w:val="18"/>
                <w:szCs w:val="18"/>
              </w:rPr>
              <w:t>ymphoma</w:t>
            </w:r>
          </w:p>
        </w:tc>
        <w:tc>
          <w:tcPr>
            <w:tcW w:w="2723" w:type="dxa"/>
            <w:vAlign w:val="center"/>
          </w:tcPr>
          <w:p w14:paraId="137D33D4" w14:textId="77777777" w:rsidR="00EF347B" w:rsidRPr="004D0DFE" w:rsidRDefault="00EF347B" w:rsidP="0036529E">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4D0DFE">
              <w:rPr>
                <w:rFonts w:ascii="Arial" w:hAnsi="Arial" w:cs="Arial"/>
                <w:bCs/>
                <w:sz w:val="18"/>
                <w:szCs w:val="18"/>
              </w:rPr>
              <w:t>Stanford V</w:t>
            </w:r>
          </w:p>
        </w:tc>
        <w:tc>
          <w:tcPr>
            <w:tcW w:w="2340" w:type="dxa"/>
            <w:vAlign w:val="center"/>
          </w:tcPr>
          <w:p w14:paraId="453A1884" w14:textId="77777777" w:rsidR="00EF347B" w:rsidRPr="004D0DFE" w:rsidRDefault="00EF347B" w:rsidP="0036529E">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4D0DFE">
              <w:rPr>
                <w:rFonts w:ascii="Arial" w:hAnsi="Arial" w:cs="Arial"/>
                <w:bCs/>
                <w:sz w:val="18"/>
                <w:szCs w:val="18"/>
              </w:rPr>
              <w:t>Inter</w:t>
            </w:r>
          </w:p>
        </w:tc>
        <w:tc>
          <w:tcPr>
            <w:tcW w:w="4590" w:type="dxa"/>
            <w:vAlign w:val="center"/>
          </w:tcPr>
          <w:p w14:paraId="60CB6B40" w14:textId="77777777" w:rsidR="00EF347B" w:rsidRPr="004D0DFE" w:rsidRDefault="005D084B" w:rsidP="00357D8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hyperlink r:id="rId24" w:history="1">
              <w:r w:rsidR="00EF347B" w:rsidRPr="004D0DFE">
                <w:rPr>
                  <w:rStyle w:val="Hyperlink"/>
                  <w:rFonts w:ascii="Arial" w:hAnsi="Arial" w:cs="Arial"/>
                  <w:bCs/>
                  <w:sz w:val="18"/>
                  <w:szCs w:val="18"/>
                </w:rPr>
                <w:t>https://pubmed.ncbi.nlm.nih.gov/11821442/</w:t>
              </w:r>
            </w:hyperlink>
            <w:r w:rsidR="00EF347B" w:rsidRPr="004D0DFE">
              <w:rPr>
                <w:rFonts w:ascii="Arial" w:hAnsi="Arial" w:cs="Arial"/>
                <w:bCs/>
                <w:sz w:val="18"/>
                <w:szCs w:val="18"/>
              </w:rPr>
              <w:t xml:space="preserve"> </w:t>
            </w:r>
          </w:p>
        </w:tc>
      </w:tr>
      <w:tr w:rsidR="00EF347B" w:rsidRPr="0036529E" w14:paraId="4F964177" w14:textId="77777777" w:rsidTr="00482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vAlign w:val="center"/>
          </w:tcPr>
          <w:p w14:paraId="4A544CC9" w14:textId="77777777" w:rsidR="00EF347B" w:rsidRPr="004D0DFE" w:rsidRDefault="00EF347B" w:rsidP="00357D8A">
            <w:pPr>
              <w:pStyle w:val="NoSpacing"/>
              <w:rPr>
                <w:rFonts w:ascii="Arial" w:hAnsi="Arial" w:cs="Arial"/>
                <w:b w:val="0"/>
                <w:bCs w:val="0"/>
                <w:sz w:val="18"/>
                <w:szCs w:val="18"/>
              </w:rPr>
            </w:pPr>
            <w:r w:rsidRPr="004D0DFE">
              <w:rPr>
                <w:rFonts w:ascii="Arial" w:hAnsi="Arial" w:cs="Arial"/>
                <w:b w:val="0"/>
                <w:bCs w:val="0"/>
                <w:sz w:val="18"/>
                <w:szCs w:val="18"/>
              </w:rPr>
              <w:t xml:space="preserve">Lymphoma </w:t>
            </w:r>
          </w:p>
        </w:tc>
        <w:tc>
          <w:tcPr>
            <w:tcW w:w="2723" w:type="dxa"/>
            <w:vAlign w:val="center"/>
          </w:tcPr>
          <w:p w14:paraId="1F1293F6" w14:textId="77777777" w:rsidR="00EF347B" w:rsidRPr="004D0DFE" w:rsidRDefault="00EF347B" w:rsidP="0036529E">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4D0DFE">
              <w:rPr>
                <w:rFonts w:ascii="Arial" w:hAnsi="Arial" w:cs="Arial"/>
                <w:bCs/>
                <w:sz w:val="18"/>
                <w:szCs w:val="18"/>
              </w:rPr>
              <w:t>RCEPP</w:t>
            </w:r>
          </w:p>
        </w:tc>
        <w:tc>
          <w:tcPr>
            <w:tcW w:w="2340" w:type="dxa"/>
            <w:vAlign w:val="center"/>
          </w:tcPr>
          <w:p w14:paraId="26C30F26" w14:textId="77777777" w:rsidR="00EF347B" w:rsidRPr="004D0DFE" w:rsidRDefault="00EF347B" w:rsidP="0036529E">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4D0DFE">
              <w:rPr>
                <w:rFonts w:ascii="Arial" w:hAnsi="Arial" w:cs="Arial"/>
                <w:bCs/>
                <w:sz w:val="18"/>
                <w:szCs w:val="18"/>
              </w:rPr>
              <w:t>Low</w:t>
            </w:r>
          </w:p>
        </w:tc>
        <w:tc>
          <w:tcPr>
            <w:tcW w:w="4590" w:type="dxa"/>
            <w:vAlign w:val="center"/>
          </w:tcPr>
          <w:p w14:paraId="2428E2EC" w14:textId="77777777" w:rsidR="00EF347B" w:rsidRPr="004D0DFE" w:rsidRDefault="005D084B" w:rsidP="00357D8A">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hyperlink r:id="rId25" w:history="1">
              <w:r w:rsidR="00EF347B" w:rsidRPr="004D0DFE">
                <w:rPr>
                  <w:rStyle w:val="Hyperlink"/>
                  <w:rFonts w:ascii="Arial" w:hAnsi="Arial" w:cs="Arial"/>
                  <w:bCs/>
                  <w:sz w:val="18"/>
                  <w:szCs w:val="18"/>
                </w:rPr>
                <w:t>https://pubmed.ncbi.nlm.nih.gov/2207307/</w:t>
              </w:r>
            </w:hyperlink>
            <w:r w:rsidR="00EF347B" w:rsidRPr="004D0DFE">
              <w:rPr>
                <w:rFonts w:ascii="Arial" w:hAnsi="Arial" w:cs="Arial"/>
                <w:bCs/>
                <w:sz w:val="18"/>
                <w:szCs w:val="18"/>
              </w:rPr>
              <w:t xml:space="preserve"> </w:t>
            </w:r>
          </w:p>
        </w:tc>
      </w:tr>
      <w:tr w:rsidR="00EF347B" w:rsidRPr="0036529E" w14:paraId="66781D14" w14:textId="77777777" w:rsidTr="0048205E">
        <w:tc>
          <w:tcPr>
            <w:cnfStyle w:val="001000000000" w:firstRow="0" w:lastRow="0" w:firstColumn="1" w:lastColumn="0" w:oddVBand="0" w:evenVBand="0" w:oddHBand="0" w:evenHBand="0" w:firstRowFirstColumn="0" w:firstRowLastColumn="0" w:lastRowFirstColumn="0" w:lastRowLastColumn="0"/>
            <w:tcW w:w="2605" w:type="dxa"/>
            <w:vAlign w:val="center"/>
          </w:tcPr>
          <w:p w14:paraId="525A41E1" w14:textId="77777777" w:rsidR="00EF347B" w:rsidRPr="004D0DFE" w:rsidRDefault="00EF347B" w:rsidP="00357D8A">
            <w:pPr>
              <w:pStyle w:val="NoSpacing"/>
              <w:rPr>
                <w:rFonts w:ascii="Arial" w:hAnsi="Arial" w:cs="Arial"/>
                <w:b w:val="0"/>
                <w:bCs w:val="0"/>
                <w:sz w:val="18"/>
                <w:szCs w:val="18"/>
              </w:rPr>
            </w:pPr>
            <w:r w:rsidRPr="004D0DFE">
              <w:rPr>
                <w:rFonts w:ascii="Arial" w:hAnsi="Arial" w:cs="Arial"/>
                <w:b w:val="0"/>
                <w:bCs w:val="0"/>
                <w:sz w:val="18"/>
                <w:szCs w:val="18"/>
              </w:rPr>
              <w:t>Lymphoma</w:t>
            </w:r>
          </w:p>
        </w:tc>
        <w:tc>
          <w:tcPr>
            <w:tcW w:w="2723" w:type="dxa"/>
            <w:vAlign w:val="center"/>
          </w:tcPr>
          <w:p w14:paraId="6B9E31CC" w14:textId="77777777" w:rsidR="00EF347B" w:rsidRPr="004D0DFE" w:rsidRDefault="00EF347B" w:rsidP="0036529E">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4D0DFE">
              <w:rPr>
                <w:rFonts w:ascii="Arial" w:hAnsi="Arial" w:cs="Arial"/>
                <w:bCs/>
                <w:sz w:val="18"/>
                <w:szCs w:val="18"/>
              </w:rPr>
              <w:t>R-CEOP</w:t>
            </w:r>
          </w:p>
        </w:tc>
        <w:tc>
          <w:tcPr>
            <w:tcW w:w="2340" w:type="dxa"/>
            <w:vAlign w:val="center"/>
          </w:tcPr>
          <w:p w14:paraId="2EE94FE1" w14:textId="77777777" w:rsidR="00EF347B" w:rsidRPr="004D0DFE" w:rsidRDefault="00EF347B" w:rsidP="0036529E">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4D0DFE">
              <w:rPr>
                <w:rFonts w:ascii="Arial" w:hAnsi="Arial" w:cs="Arial"/>
                <w:bCs/>
                <w:sz w:val="18"/>
                <w:szCs w:val="18"/>
              </w:rPr>
              <w:t>Inter</w:t>
            </w:r>
          </w:p>
        </w:tc>
        <w:tc>
          <w:tcPr>
            <w:tcW w:w="4590" w:type="dxa"/>
            <w:vAlign w:val="center"/>
          </w:tcPr>
          <w:p w14:paraId="47AA2C73" w14:textId="77777777" w:rsidR="00EF347B" w:rsidRPr="004D0DFE" w:rsidRDefault="005D084B" w:rsidP="00357D8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hyperlink r:id="rId26" w:history="1">
              <w:r w:rsidR="00EF347B" w:rsidRPr="004D0DFE">
                <w:rPr>
                  <w:rStyle w:val="Hyperlink"/>
                  <w:rFonts w:ascii="Arial" w:hAnsi="Arial" w:cs="Arial"/>
                  <w:bCs/>
                  <w:sz w:val="18"/>
                  <w:szCs w:val="18"/>
                </w:rPr>
                <w:t>https://pubmed.ncbi.nlm.nih.gov/26397936/</w:t>
              </w:r>
            </w:hyperlink>
            <w:r w:rsidR="00EF347B" w:rsidRPr="004D0DFE">
              <w:rPr>
                <w:rFonts w:ascii="Arial" w:hAnsi="Arial" w:cs="Arial"/>
                <w:bCs/>
                <w:sz w:val="18"/>
                <w:szCs w:val="18"/>
              </w:rPr>
              <w:t xml:space="preserve"> </w:t>
            </w:r>
          </w:p>
        </w:tc>
      </w:tr>
      <w:tr w:rsidR="00EF347B" w:rsidRPr="0036529E" w14:paraId="43F648F7" w14:textId="77777777" w:rsidTr="00482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vAlign w:val="center"/>
          </w:tcPr>
          <w:p w14:paraId="29007849" w14:textId="77777777" w:rsidR="00EF347B" w:rsidRPr="004D0DFE" w:rsidRDefault="00EF347B" w:rsidP="00357D8A">
            <w:pPr>
              <w:pStyle w:val="NoSpacing"/>
              <w:rPr>
                <w:rFonts w:ascii="Arial" w:hAnsi="Arial" w:cs="Arial"/>
                <w:b w:val="0"/>
                <w:bCs w:val="0"/>
                <w:sz w:val="18"/>
                <w:szCs w:val="18"/>
              </w:rPr>
            </w:pPr>
            <w:r w:rsidRPr="004D0DFE">
              <w:rPr>
                <w:rFonts w:ascii="Arial" w:hAnsi="Arial" w:cs="Arial"/>
                <w:b w:val="0"/>
                <w:bCs w:val="0"/>
                <w:sz w:val="18"/>
                <w:szCs w:val="18"/>
              </w:rPr>
              <w:t>Lymphoma</w:t>
            </w:r>
          </w:p>
        </w:tc>
        <w:tc>
          <w:tcPr>
            <w:tcW w:w="2723" w:type="dxa"/>
            <w:vAlign w:val="center"/>
          </w:tcPr>
          <w:p w14:paraId="12135134" w14:textId="77777777" w:rsidR="00EF347B" w:rsidRPr="004D0DFE" w:rsidRDefault="00EF347B" w:rsidP="0036529E">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4D0DFE">
              <w:rPr>
                <w:rFonts w:ascii="Arial" w:hAnsi="Arial" w:cs="Arial"/>
                <w:bCs/>
                <w:sz w:val="18"/>
                <w:szCs w:val="18"/>
              </w:rPr>
              <w:t>R-CDOP</w:t>
            </w:r>
          </w:p>
        </w:tc>
        <w:tc>
          <w:tcPr>
            <w:tcW w:w="2340" w:type="dxa"/>
            <w:vAlign w:val="center"/>
          </w:tcPr>
          <w:p w14:paraId="0A1EF2B7" w14:textId="77777777" w:rsidR="00EF347B" w:rsidRPr="004D0DFE" w:rsidRDefault="00EF347B" w:rsidP="0036529E">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4D0DFE">
              <w:rPr>
                <w:rFonts w:ascii="Arial" w:hAnsi="Arial" w:cs="Arial"/>
                <w:bCs/>
                <w:sz w:val="18"/>
                <w:szCs w:val="18"/>
              </w:rPr>
              <w:t>High</w:t>
            </w:r>
          </w:p>
        </w:tc>
        <w:tc>
          <w:tcPr>
            <w:tcW w:w="4590" w:type="dxa"/>
            <w:vAlign w:val="center"/>
          </w:tcPr>
          <w:p w14:paraId="6051FA25" w14:textId="77777777" w:rsidR="00EF347B" w:rsidRPr="004D0DFE" w:rsidRDefault="005D084B" w:rsidP="00357D8A">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hyperlink r:id="rId27" w:history="1">
              <w:r w:rsidR="00EF347B" w:rsidRPr="004D0DFE">
                <w:rPr>
                  <w:rStyle w:val="Hyperlink"/>
                  <w:rFonts w:ascii="Arial" w:hAnsi="Arial" w:cs="Arial"/>
                  <w:bCs/>
                  <w:sz w:val="18"/>
                  <w:szCs w:val="18"/>
                </w:rPr>
                <w:t>https://pubmed.ncbi.nlm.nih.gov/25445468/</w:t>
              </w:r>
            </w:hyperlink>
            <w:r w:rsidR="00EF347B" w:rsidRPr="004D0DFE">
              <w:rPr>
                <w:rFonts w:ascii="Arial" w:hAnsi="Arial" w:cs="Arial"/>
                <w:bCs/>
                <w:sz w:val="18"/>
                <w:szCs w:val="18"/>
              </w:rPr>
              <w:t xml:space="preserve"> </w:t>
            </w:r>
          </w:p>
        </w:tc>
      </w:tr>
      <w:tr w:rsidR="00EF347B" w:rsidRPr="0036529E" w14:paraId="321BB0A8" w14:textId="77777777" w:rsidTr="0048205E">
        <w:tc>
          <w:tcPr>
            <w:cnfStyle w:val="001000000000" w:firstRow="0" w:lastRow="0" w:firstColumn="1" w:lastColumn="0" w:oddVBand="0" w:evenVBand="0" w:oddHBand="0" w:evenHBand="0" w:firstRowFirstColumn="0" w:firstRowLastColumn="0" w:lastRowFirstColumn="0" w:lastRowLastColumn="0"/>
            <w:tcW w:w="2605" w:type="dxa"/>
            <w:vAlign w:val="center"/>
          </w:tcPr>
          <w:p w14:paraId="5A59F84E" w14:textId="77777777" w:rsidR="00EF347B" w:rsidRPr="004D0DFE" w:rsidRDefault="00EF347B" w:rsidP="00357D8A">
            <w:pPr>
              <w:pStyle w:val="NoSpacing"/>
              <w:rPr>
                <w:rFonts w:ascii="Arial" w:hAnsi="Arial" w:cs="Arial"/>
                <w:b w:val="0"/>
                <w:bCs w:val="0"/>
                <w:sz w:val="18"/>
                <w:szCs w:val="18"/>
              </w:rPr>
            </w:pPr>
            <w:r w:rsidRPr="004D0DFE">
              <w:rPr>
                <w:rFonts w:ascii="Arial" w:hAnsi="Arial" w:cs="Arial"/>
                <w:b w:val="0"/>
                <w:bCs w:val="0"/>
                <w:sz w:val="18"/>
                <w:szCs w:val="18"/>
              </w:rPr>
              <w:t>Myeloma</w:t>
            </w:r>
          </w:p>
        </w:tc>
        <w:tc>
          <w:tcPr>
            <w:tcW w:w="2723" w:type="dxa"/>
            <w:vAlign w:val="center"/>
          </w:tcPr>
          <w:p w14:paraId="4897BA9A" w14:textId="7DB89DF5" w:rsidR="00EF347B" w:rsidRPr="004D0DFE" w:rsidRDefault="00EF347B" w:rsidP="0036529E">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4D0DFE">
              <w:rPr>
                <w:rFonts w:ascii="Arial" w:hAnsi="Arial" w:cs="Arial"/>
                <w:bCs/>
                <w:sz w:val="18"/>
                <w:szCs w:val="18"/>
              </w:rPr>
              <w:t>VAD (</w:t>
            </w:r>
            <w:proofErr w:type="spellStart"/>
            <w:r w:rsidRPr="004D0DFE">
              <w:rPr>
                <w:rFonts w:ascii="Arial" w:hAnsi="Arial" w:cs="Arial"/>
                <w:bCs/>
                <w:sz w:val="18"/>
                <w:szCs w:val="18"/>
              </w:rPr>
              <w:t>botezomib</w:t>
            </w:r>
            <w:proofErr w:type="spellEnd"/>
            <w:r w:rsidR="009E3611">
              <w:rPr>
                <w:rFonts w:ascii="Arial" w:hAnsi="Arial" w:cs="Arial"/>
                <w:bCs/>
                <w:sz w:val="18"/>
                <w:szCs w:val="18"/>
              </w:rPr>
              <w:t xml:space="preserve">, </w:t>
            </w:r>
            <w:r w:rsidRPr="004D0DFE">
              <w:rPr>
                <w:rFonts w:ascii="Arial" w:hAnsi="Arial" w:cs="Arial"/>
                <w:bCs/>
                <w:sz w:val="18"/>
                <w:szCs w:val="18"/>
              </w:rPr>
              <w:t>doxorubicin</w:t>
            </w:r>
            <w:r w:rsidR="009E3611">
              <w:rPr>
                <w:rFonts w:ascii="Arial" w:hAnsi="Arial" w:cs="Arial"/>
                <w:bCs/>
                <w:sz w:val="18"/>
                <w:szCs w:val="18"/>
              </w:rPr>
              <w:t xml:space="preserve">, </w:t>
            </w:r>
            <w:r w:rsidRPr="004D0DFE">
              <w:rPr>
                <w:rFonts w:ascii="Arial" w:hAnsi="Arial" w:cs="Arial"/>
                <w:bCs/>
                <w:sz w:val="18"/>
                <w:szCs w:val="18"/>
              </w:rPr>
              <w:t>dexamethasone</w:t>
            </w:r>
            <w:r w:rsidR="009E3611">
              <w:rPr>
                <w:rFonts w:ascii="Arial" w:hAnsi="Arial" w:cs="Arial"/>
                <w:bCs/>
                <w:sz w:val="18"/>
                <w:szCs w:val="18"/>
              </w:rPr>
              <w:t>)</w:t>
            </w:r>
          </w:p>
        </w:tc>
        <w:tc>
          <w:tcPr>
            <w:tcW w:w="2340" w:type="dxa"/>
            <w:vAlign w:val="center"/>
          </w:tcPr>
          <w:p w14:paraId="7FDE7FDB" w14:textId="77777777" w:rsidR="00EF347B" w:rsidRPr="004D0DFE" w:rsidRDefault="00EF347B" w:rsidP="0036529E">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4D0DFE">
              <w:rPr>
                <w:rFonts w:ascii="Arial" w:hAnsi="Arial" w:cs="Arial"/>
                <w:bCs/>
                <w:sz w:val="18"/>
                <w:szCs w:val="18"/>
              </w:rPr>
              <w:t>Low</w:t>
            </w:r>
          </w:p>
        </w:tc>
        <w:tc>
          <w:tcPr>
            <w:tcW w:w="4590" w:type="dxa"/>
            <w:vAlign w:val="center"/>
          </w:tcPr>
          <w:p w14:paraId="15DBF391" w14:textId="77777777" w:rsidR="00EF347B" w:rsidRPr="004D0DFE" w:rsidRDefault="005D084B" w:rsidP="00357D8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hyperlink r:id="rId28" w:history="1">
              <w:r w:rsidR="00EF347B" w:rsidRPr="004D0DFE">
                <w:rPr>
                  <w:rStyle w:val="Hyperlink"/>
                  <w:rFonts w:ascii="Arial" w:hAnsi="Arial" w:cs="Arial"/>
                  <w:bCs/>
                  <w:sz w:val="18"/>
                  <w:szCs w:val="18"/>
                </w:rPr>
                <w:t>https://pubmed.ncbi.nlm.nih.gov/20823423/</w:t>
              </w:r>
            </w:hyperlink>
            <w:r w:rsidR="00EF347B" w:rsidRPr="004D0DFE">
              <w:rPr>
                <w:rFonts w:ascii="Arial" w:hAnsi="Arial" w:cs="Arial"/>
                <w:bCs/>
                <w:sz w:val="18"/>
                <w:szCs w:val="18"/>
              </w:rPr>
              <w:t xml:space="preserve"> </w:t>
            </w:r>
          </w:p>
        </w:tc>
      </w:tr>
      <w:tr w:rsidR="009E3611" w:rsidRPr="0036529E" w14:paraId="046DD2D3" w14:textId="77777777" w:rsidTr="00482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vAlign w:val="center"/>
          </w:tcPr>
          <w:p w14:paraId="12CDA64C" w14:textId="6AC34074" w:rsidR="009E3611" w:rsidRPr="009E3611" w:rsidRDefault="009E3611" w:rsidP="00357D8A">
            <w:pPr>
              <w:pStyle w:val="NoSpacing"/>
              <w:rPr>
                <w:rFonts w:ascii="Arial" w:hAnsi="Arial" w:cs="Arial"/>
                <w:sz w:val="18"/>
                <w:szCs w:val="18"/>
              </w:rPr>
            </w:pPr>
            <w:r w:rsidRPr="009E3611">
              <w:rPr>
                <w:rFonts w:ascii="Arial" w:hAnsi="Arial" w:cs="Arial"/>
                <w:b w:val="0"/>
                <w:bCs w:val="0"/>
                <w:sz w:val="18"/>
                <w:szCs w:val="18"/>
              </w:rPr>
              <w:t>Ovarian</w:t>
            </w:r>
          </w:p>
        </w:tc>
        <w:tc>
          <w:tcPr>
            <w:tcW w:w="2723" w:type="dxa"/>
            <w:vAlign w:val="center"/>
          </w:tcPr>
          <w:p w14:paraId="76717BEF" w14:textId="3FF99ACC" w:rsidR="009E3611" w:rsidRPr="009E3611" w:rsidRDefault="009E3611" w:rsidP="0036529E">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Pr>
                <w:rFonts w:ascii="Arial" w:hAnsi="Arial" w:cs="Arial"/>
                <w:bCs/>
                <w:sz w:val="18"/>
                <w:szCs w:val="18"/>
              </w:rPr>
              <w:t xml:space="preserve">Paclitaxel, </w:t>
            </w:r>
            <w:proofErr w:type="spellStart"/>
            <w:r>
              <w:rPr>
                <w:rFonts w:ascii="Arial" w:hAnsi="Arial" w:cs="Arial"/>
                <w:bCs/>
                <w:sz w:val="18"/>
                <w:szCs w:val="18"/>
              </w:rPr>
              <w:t>ifosfamide</w:t>
            </w:r>
            <w:proofErr w:type="spellEnd"/>
          </w:p>
        </w:tc>
        <w:tc>
          <w:tcPr>
            <w:tcW w:w="2340" w:type="dxa"/>
            <w:vAlign w:val="center"/>
          </w:tcPr>
          <w:p w14:paraId="7AAC8737" w14:textId="731EBFFF" w:rsidR="009E3611" w:rsidRPr="009E3611" w:rsidRDefault="009E3611" w:rsidP="0036529E">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Pr>
                <w:rFonts w:ascii="Arial" w:hAnsi="Arial" w:cs="Arial"/>
                <w:bCs/>
                <w:sz w:val="18"/>
                <w:szCs w:val="18"/>
              </w:rPr>
              <w:t>High</w:t>
            </w:r>
          </w:p>
        </w:tc>
        <w:tc>
          <w:tcPr>
            <w:tcW w:w="4590" w:type="dxa"/>
            <w:vAlign w:val="center"/>
          </w:tcPr>
          <w:p w14:paraId="47CC51E0" w14:textId="45AE2A52" w:rsidR="009E3611" w:rsidRPr="009E3611" w:rsidRDefault="005D084B" w:rsidP="00357D8A">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hyperlink r:id="rId29" w:history="1">
              <w:r w:rsidR="004221C8" w:rsidRPr="000226EC">
                <w:rPr>
                  <w:rStyle w:val="Hyperlink"/>
                  <w:rFonts w:ascii="Arial" w:hAnsi="Arial" w:cs="Arial"/>
                  <w:sz w:val="18"/>
                  <w:szCs w:val="18"/>
                </w:rPr>
                <w:t>https://pubmed.ncbi.nlm.nih.gov/17290061/</w:t>
              </w:r>
            </w:hyperlink>
            <w:r w:rsidR="004221C8">
              <w:rPr>
                <w:rFonts w:ascii="Arial" w:hAnsi="Arial" w:cs="Arial"/>
                <w:sz w:val="18"/>
                <w:szCs w:val="18"/>
              </w:rPr>
              <w:t xml:space="preserve"> </w:t>
            </w:r>
          </w:p>
        </w:tc>
      </w:tr>
      <w:tr w:rsidR="009E3611" w:rsidRPr="0036529E" w14:paraId="56951522" w14:textId="77777777" w:rsidTr="0048205E">
        <w:tc>
          <w:tcPr>
            <w:cnfStyle w:val="001000000000" w:firstRow="0" w:lastRow="0" w:firstColumn="1" w:lastColumn="0" w:oddVBand="0" w:evenVBand="0" w:oddHBand="0" w:evenHBand="0" w:firstRowFirstColumn="0" w:firstRowLastColumn="0" w:lastRowFirstColumn="0" w:lastRowLastColumn="0"/>
            <w:tcW w:w="2605" w:type="dxa"/>
            <w:vAlign w:val="center"/>
          </w:tcPr>
          <w:p w14:paraId="1BF54BB7" w14:textId="2A4A34F7" w:rsidR="009E3611" w:rsidRPr="009E3611" w:rsidRDefault="009E3611" w:rsidP="00357D8A">
            <w:pPr>
              <w:pStyle w:val="NoSpacing"/>
              <w:rPr>
                <w:rFonts w:ascii="Arial" w:hAnsi="Arial" w:cs="Arial"/>
                <w:b w:val="0"/>
                <w:bCs w:val="0"/>
                <w:sz w:val="18"/>
                <w:szCs w:val="18"/>
              </w:rPr>
            </w:pPr>
            <w:r w:rsidRPr="009E3611">
              <w:rPr>
                <w:rFonts w:ascii="Arial" w:hAnsi="Arial" w:cs="Arial"/>
                <w:b w:val="0"/>
                <w:bCs w:val="0"/>
                <w:sz w:val="18"/>
                <w:szCs w:val="18"/>
              </w:rPr>
              <w:t>Pancreas</w:t>
            </w:r>
          </w:p>
        </w:tc>
        <w:tc>
          <w:tcPr>
            <w:tcW w:w="2723" w:type="dxa"/>
            <w:vAlign w:val="center"/>
          </w:tcPr>
          <w:p w14:paraId="2C665B83" w14:textId="56F74368" w:rsidR="009E3611" w:rsidRPr="009E3611" w:rsidRDefault="009E3611" w:rsidP="0036529E">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9E3611">
              <w:rPr>
                <w:rFonts w:ascii="Arial" w:hAnsi="Arial" w:cs="Arial"/>
                <w:bCs/>
                <w:sz w:val="18"/>
                <w:szCs w:val="18"/>
              </w:rPr>
              <w:t>GTX (fixed-dose rate gemcitabine, docetaxel, capecitabine)</w:t>
            </w:r>
          </w:p>
        </w:tc>
        <w:tc>
          <w:tcPr>
            <w:tcW w:w="2340" w:type="dxa"/>
            <w:vAlign w:val="center"/>
          </w:tcPr>
          <w:p w14:paraId="6DD1749F" w14:textId="19274695" w:rsidR="009E3611" w:rsidRPr="009E3611" w:rsidRDefault="009E3611" w:rsidP="0036529E">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9E3611">
              <w:rPr>
                <w:rFonts w:ascii="Arial" w:hAnsi="Arial" w:cs="Arial"/>
                <w:bCs/>
                <w:sz w:val="18"/>
                <w:szCs w:val="18"/>
              </w:rPr>
              <w:t>Low</w:t>
            </w:r>
          </w:p>
        </w:tc>
        <w:tc>
          <w:tcPr>
            <w:tcW w:w="4590" w:type="dxa"/>
            <w:vAlign w:val="center"/>
          </w:tcPr>
          <w:p w14:paraId="1773F545" w14:textId="1CF3737C" w:rsidR="009E3611" w:rsidRPr="009E3611" w:rsidRDefault="005D084B" w:rsidP="00357D8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hyperlink r:id="rId30" w:history="1">
              <w:r w:rsidR="009E3611" w:rsidRPr="009E3611">
                <w:rPr>
                  <w:rStyle w:val="Hyperlink"/>
                  <w:rFonts w:ascii="Arial" w:hAnsi="Arial" w:cs="Arial"/>
                  <w:sz w:val="18"/>
                  <w:szCs w:val="18"/>
                </w:rPr>
                <w:t>https://pubmed.ncbi.nlm.nih.gov/17440727/</w:t>
              </w:r>
            </w:hyperlink>
            <w:r w:rsidR="009E3611" w:rsidRPr="009E3611">
              <w:rPr>
                <w:rFonts w:ascii="Arial" w:hAnsi="Arial" w:cs="Arial"/>
                <w:sz w:val="18"/>
                <w:szCs w:val="18"/>
              </w:rPr>
              <w:t xml:space="preserve"> </w:t>
            </w:r>
          </w:p>
        </w:tc>
      </w:tr>
    </w:tbl>
    <w:p w14:paraId="6B54F299" w14:textId="77777777" w:rsidR="00EF347B" w:rsidRPr="0036529E" w:rsidRDefault="00EF347B" w:rsidP="00EF347B">
      <w:pPr>
        <w:pStyle w:val="NoSpacing"/>
        <w:rPr>
          <w:rFonts w:ascii="Arial" w:hAnsi="Arial" w:cs="Arial"/>
          <w:bCs/>
        </w:rPr>
      </w:pPr>
    </w:p>
    <w:p w14:paraId="01F8ED9C" w14:textId="5A78CD53" w:rsidR="0036529E" w:rsidRPr="00CE5519" w:rsidRDefault="00EF347B" w:rsidP="00CE5519">
      <w:pPr>
        <w:pStyle w:val="Heading1"/>
        <w:numPr>
          <w:ilvl w:val="0"/>
          <w:numId w:val="0"/>
        </w:numPr>
        <w:rPr>
          <w:rFonts w:ascii="Arial" w:hAnsi="Arial" w:cs="Arial"/>
          <w:color w:val="auto"/>
          <w:u w:val="single"/>
        </w:rPr>
      </w:pPr>
      <w:bookmarkStart w:id="31" w:name="_Toc194582598"/>
      <w:r w:rsidRPr="00CE5519">
        <w:rPr>
          <w:rFonts w:ascii="Arial" w:hAnsi="Arial" w:cs="Arial"/>
          <w:color w:val="auto"/>
          <w:u w:val="single"/>
        </w:rPr>
        <w:t xml:space="preserve">Excluded </w:t>
      </w:r>
      <w:r w:rsidR="0036529E" w:rsidRPr="00CE5519">
        <w:rPr>
          <w:rFonts w:ascii="Arial" w:hAnsi="Arial" w:cs="Arial"/>
          <w:color w:val="auto"/>
          <w:u w:val="single"/>
        </w:rPr>
        <w:t>T</w:t>
      </w:r>
      <w:r w:rsidRPr="00CE5519">
        <w:rPr>
          <w:rFonts w:ascii="Arial" w:hAnsi="Arial" w:cs="Arial"/>
          <w:color w:val="auto"/>
          <w:u w:val="single"/>
        </w:rPr>
        <w:t xml:space="preserve">reatment </w:t>
      </w:r>
      <w:r w:rsidR="0036529E" w:rsidRPr="00CE5519">
        <w:rPr>
          <w:rFonts w:ascii="Arial" w:hAnsi="Arial" w:cs="Arial"/>
          <w:color w:val="auto"/>
          <w:u w:val="single"/>
        </w:rPr>
        <w:t>R</w:t>
      </w:r>
      <w:r w:rsidRPr="00CE5519">
        <w:rPr>
          <w:rFonts w:ascii="Arial" w:hAnsi="Arial" w:cs="Arial"/>
          <w:color w:val="auto"/>
          <w:u w:val="single"/>
        </w:rPr>
        <w:t>egimens</w:t>
      </w:r>
      <w:bookmarkEnd w:id="31"/>
    </w:p>
    <w:p w14:paraId="47BBBFAB" w14:textId="77777777" w:rsidR="004D0DFE" w:rsidRPr="004D0DFE" w:rsidRDefault="004D0DFE" w:rsidP="00EF347B">
      <w:pPr>
        <w:pStyle w:val="NoSpacing"/>
        <w:rPr>
          <w:rFonts w:ascii="Arial" w:hAnsi="Arial" w:cs="Arial"/>
          <w:bCs/>
          <w:u w:val="single"/>
        </w:rPr>
      </w:pPr>
    </w:p>
    <w:tbl>
      <w:tblPr>
        <w:tblStyle w:val="ListTable2-Accent3"/>
        <w:tblW w:w="0" w:type="auto"/>
        <w:tblLayout w:type="fixed"/>
        <w:tblLook w:val="04A0" w:firstRow="1" w:lastRow="0" w:firstColumn="1" w:lastColumn="0" w:noHBand="0" w:noVBand="1"/>
      </w:tblPr>
      <w:tblGrid>
        <w:gridCol w:w="2358"/>
        <w:gridCol w:w="3307"/>
        <w:gridCol w:w="2003"/>
        <w:gridCol w:w="4590"/>
      </w:tblGrid>
      <w:tr w:rsidR="004D0DFE" w:rsidRPr="0036529E" w14:paraId="3CA238D8" w14:textId="77777777" w:rsidTr="00F9146B">
        <w:trPr>
          <w:cnfStyle w:val="100000000000" w:firstRow="1" w:lastRow="0" w:firstColumn="0" w:lastColumn="0" w:oddVBand="0" w:evenVBand="0" w:oddHBand="0"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FFFFFF" w:themeColor="background1"/>
              <w:left w:val="single" w:sz="4" w:space="0" w:color="FFFFFF" w:themeColor="background1"/>
              <w:right w:val="single" w:sz="4" w:space="0" w:color="FFFFFF" w:themeColor="background1"/>
            </w:tcBorders>
          </w:tcPr>
          <w:p w14:paraId="45C030F8" w14:textId="77777777" w:rsidR="0036529E" w:rsidRPr="004D0DFE" w:rsidRDefault="0036529E" w:rsidP="0048205E">
            <w:pPr>
              <w:pStyle w:val="NoSpacing"/>
              <w:rPr>
                <w:rFonts w:ascii="Arial" w:hAnsi="Arial" w:cs="Arial"/>
                <w:b w:val="0"/>
                <w:sz w:val="20"/>
                <w:szCs w:val="20"/>
              </w:rPr>
            </w:pPr>
            <w:r w:rsidRPr="004D0DFE">
              <w:rPr>
                <w:rFonts w:ascii="Arial" w:hAnsi="Arial" w:cs="Arial"/>
                <w:sz w:val="20"/>
                <w:szCs w:val="20"/>
              </w:rPr>
              <w:t>Cancer Type</w:t>
            </w:r>
          </w:p>
        </w:tc>
        <w:tc>
          <w:tcPr>
            <w:tcW w:w="3307" w:type="dxa"/>
            <w:tcBorders>
              <w:top w:val="single" w:sz="4" w:space="0" w:color="FFFFFF" w:themeColor="background1"/>
              <w:left w:val="single" w:sz="4" w:space="0" w:color="FFFFFF" w:themeColor="background1"/>
              <w:right w:val="single" w:sz="4" w:space="0" w:color="FFFFFF" w:themeColor="background1"/>
            </w:tcBorders>
          </w:tcPr>
          <w:p w14:paraId="792375E1" w14:textId="77777777" w:rsidR="0036529E" w:rsidRPr="004D0DFE" w:rsidRDefault="0036529E" w:rsidP="0048205E">
            <w:pPr>
              <w:pStyle w:val="NoSpacing"/>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4D0DFE">
              <w:rPr>
                <w:rFonts w:ascii="Arial" w:hAnsi="Arial" w:cs="Arial"/>
                <w:sz w:val="20"/>
                <w:szCs w:val="20"/>
              </w:rPr>
              <w:t>Regimen</w:t>
            </w:r>
          </w:p>
        </w:tc>
        <w:tc>
          <w:tcPr>
            <w:tcW w:w="2003" w:type="dxa"/>
            <w:tcBorders>
              <w:top w:val="single" w:sz="4" w:space="0" w:color="FFFFFF" w:themeColor="background1"/>
              <w:left w:val="single" w:sz="4" w:space="0" w:color="FFFFFF" w:themeColor="background1"/>
              <w:right w:val="single" w:sz="4" w:space="0" w:color="FFFFFF" w:themeColor="background1"/>
            </w:tcBorders>
          </w:tcPr>
          <w:p w14:paraId="606E3D23" w14:textId="2AF0CD3C" w:rsidR="0036529E" w:rsidRPr="004D0DFE" w:rsidRDefault="004D0DFE" w:rsidP="006067FF">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4D0DFE">
              <w:rPr>
                <w:rFonts w:ascii="Arial" w:hAnsi="Arial" w:cs="Arial"/>
                <w:sz w:val="20"/>
                <w:szCs w:val="20"/>
              </w:rPr>
              <w:t>Unique ID(s)</w:t>
            </w:r>
          </w:p>
        </w:tc>
        <w:tc>
          <w:tcPr>
            <w:tcW w:w="4590" w:type="dxa"/>
            <w:tcBorders>
              <w:top w:val="single" w:sz="4" w:space="0" w:color="FFFFFF" w:themeColor="background1"/>
              <w:left w:val="single" w:sz="4" w:space="0" w:color="FFFFFF" w:themeColor="background1"/>
              <w:right w:val="single" w:sz="4" w:space="0" w:color="FFFFFF" w:themeColor="background1"/>
            </w:tcBorders>
          </w:tcPr>
          <w:p w14:paraId="002C400F" w14:textId="77777777" w:rsidR="0036529E" w:rsidRPr="004D0DFE" w:rsidRDefault="0036529E" w:rsidP="006067FF">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4D0DFE">
              <w:rPr>
                <w:rFonts w:ascii="Arial" w:hAnsi="Arial" w:cs="Arial"/>
                <w:sz w:val="20"/>
                <w:szCs w:val="20"/>
              </w:rPr>
              <w:t>Citation</w:t>
            </w:r>
          </w:p>
        </w:tc>
      </w:tr>
      <w:tr w:rsidR="00744C3B" w:rsidRPr="0036529E" w14:paraId="37CBF2F5" w14:textId="77777777" w:rsidTr="00F914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vAlign w:val="center"/>
          </w:tcPr>
          <w:p w14:paraId="366B958E" w14:textId="2EF595E4" w:rsidR="0036529E" w:rsidRPr="004D0DFE" w:rsidRDefault="0036529E" w:rsidP="0036529E">
            <w:pPr>
              <w:pStyle w:val="NoSpacing"/>
              <w:rPr>
                <w:rFonts w:ascii="Arial" w:hAnsi="Arial" w:cs="Arial"/>
                <w:b w:val="0"/>
                <w:bCs w:val="0"/>
                <w:sz w:val="18"/>
                <w:szCs w:val="18"/>
              </w:rPr>
            </w:pPr>
            <w:r w:rsidRPr="004D0DFE">
              <w:rPr>
                <w:rFonts w:ascii="Arial" w:hAnsi="Arial" w:cs="Arial"/>
                <w:b w:val="0"/>
                <w:bCs w:val="0"/>
                <w:sz w:val="18"/>
                <w:szCs w:val="18"/>
              </w:rPr>
              <w:t>Bladder</w:t>
            </w:r>
          </w:p>
        </w:tc>
        <w:tc>
          <w:tcPr>
            <w:tcW w:w="3307" w:type="dxa"/>
            <w:vAlign w:val="center"/>
          </w:tcPr>
          <w:p w14:paraId="58553DB4" w14:textId="1E840E11" w:rsidR="0036529E" w:rsidRPr="004D0DFE" w:rsidRDefault="0036529E" w:rsidP="0036529E">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4D0DFE">
              <w:rPr>
                <w:rFonts w:ascii="Arial" w:hAnsi="Arial" w:cs="Arial"/>
                <w:sz w:val="18"/>
                <w:szCs w:val="18"/>
              </w:rPr>
              <w:t>Docetaxel + RT</w:t>
            </w:r>
          </w:p>
        </w:tc>
        <w:tc>
          <w:tcPr>
            <w:tcW w:w="2003" w:type="dxa"/>
            <w:vAlign w:val="center"/>
          </w:tcPr>
          <w:p w14:paraId="592D096A" w14:textId="4B1C6B88" w:rsidR="0036529E" w:rsidRPr="004D0DFE" w:rsidRDefault="0036529E" w:rsidP="0036529E">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4D0DFE">
              <w:rPr>
                <w:rFonts w:ascii="Arial" w:hAnsi="Arial" w:cs="Arial"/>
                <w:sz w:val="18"/>
                <w:szCs w:val="18"/>
              </w:rPr>
              <w:t>13059</w:t>
            </w:r>
          </w:p>
        </w:tc>
        <w:tc>
          <w:tcPr>
            <w:tcW w:w="4590" w:type="dxa"/>
            <w:vAlign w:val="center"/>
          </w:tcPr>
          <w:p w14:paraId="2FCF1E58" w14:textId="6163C840" w:rsidR="0036529E" w:rsidRPr="004D0DFE" w:rsidRDefault="0036529E" w:rsidP="0036529E">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4D0DFE">
              <w:rPr>
                <w:rFonts w:ascii="Arial" w:hAnsi="Arial" w:cs="Arial"/>
                <w:sz w:val="18"/>
                <w:szCs w:val="18"/>
              </w:rPr>
              <w:t>Dosing information could not be found</w:t>
            </w:r>
          </w:p>
        </w:tc>
      </w:tr>
      <w:tr w:rsidR="00582C8A" w:rsidRPr="0036529E" w14:paraId="37BDF5B6" w14:textId="77777777" w:rsidTr="00F9146B">
        <w:tc>
          <w:tcPr>
            <w:cnfStyle w:val="001000000000" w:firstRow="0" w:lastRow="0" w:firstColumn="1" w:lastColumn="0" w:oddVBand="0" w:evenVBand="0" w:oddHBand="0" w:evenHBand="0" w:firstRowFirstColumn="0" w:firstRowLastColumn="0" w:lastRowFirstColumn="0" w:lastRowLastColumn="0"/>
            <w:tcW w:w="2358" w:type="dxa"/>
            <w:vAlign w:val="center"/>
          </w:tcPr>
          <w:p w14:paraId="26346471" w14:textId="3DF6ACE4" w:rsidR="00582C8A" w:rsidRPr="004D0DFE" w:rsidRDefault="0016621A" w:rsidP="00582C8A">
            <w:pPr>
              <w:pStyle w:val="NoSpacing"/>
              <w:rPr>
                <w:rFonts w:ascii="Arial" w:hAnsi="Arial" w:cs="Arial"/>
                <w:b w:val="0"/>
                <w:bCs w:val="0"/>
                <w:sz w:val="18"/>
                <w:szCs w:val="18"/>
              </w:rPr>
            </w:pPr>
            <w:r>
              <w:rPr>
                <w:rFonts w:ascii="Arial" w:hAnsi="Arial" w:cs="Arial"/>
                <w:b w:val="0"/>
                <w:bCs w:val="0"/>
                <w:sz w:val="18"/>
                <w:szCs w:val="18"/>
              </w:rPr>
              <w:t>Brain (CNS)</w:t>
            </w:r>
          </w:p>
        </w:tc>
        <w:tc>
          <w:tcPr>
            <w:tcW w:w="3307" w:type="dxa"/>
            <w:vAlign w:val="center"/>
          </w:tcPr>
          <w:p w14:paraId="42FE08CF" w14:textId="6C7880C5" w:rsidR="00582C8A" w:rsidRPr="004D0DFE" w:rsidRDefault="00582C8A" w:rsidP="00582C8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Pr>
                <w:rFonts w:ascii="Arial" w:hAnsi="Arial" w:cs="Arial"/>
                <w:sz w:val="18"/>
                <w:szCs w:val="18"/>
              </w:rPr>
              <w:t>H</w:t>
            </w:r>
            <w:r w:rsidRPr="004D0DFE">
              <w:rPr>
                <w:rFonts w:ascii="Arial" w:hAnsi="Arial" w:cs="Arial"/>
                <w:sz w:val="18"/>
                <w:szCs w:val="18"/>
              </w:rPr>
              <w:t>igh</w:t>
            </w:r>
            <w:r>
              <w:rPr>
                <w:rFonts w:ascii="Arial" w:hAnsi="Arial" w:cs="Arial"/>
                <w:sz w:val="18"/>
                <w:szCs w:val="18"/>
              </w:rPr>
              <w:t>-</w:t>
            </w:r>
            <w:r w:rsidRPr="004D0DFE">
              <w:rPr>
                <w:rFonts w:ascii="Arial" w:hAnsi="Arial" w:cs="Arial"/>
                <w:sz w:val="18"/>
                <w:szCs w:val="18"/>
              </w:rPr>
              <w:t>dose cyclophosphamide</w:t>
            </w:r>
          </w:p>
        </w:tc>
        <w:tc>
          <w:tcPr>
            <w:tcW w:w="2003" w:type="dxa"/>
            <w:vAlign w:val="center"/>
          </w:tcPr>
          <w:p w14:paraId="26A4CB29" w14:textId="53F952EE" w:rsidR="00582C8A" w:rsidRPr="004D0DFE" w:rsidRDefault="00582C8A" w:rsidP="00582C8A">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Pr>
                <w:rFonts w:ascii="Arial" w:hAnsi="Arial" w:cs="Arial"/>
                <w:bCs/>
                <w:sz w:val="18"/>
                <w:szCs w:val="18"/>
              </w:rPr>
              <w:t>15128, 15132, 15137, 15141</w:t>
            </w:r>
          </w:p>
        </w:tc>
        <w:tc>
          <w:tcPr>
            <w:tcW w:w="4590" w:type="dxa"/>
            <w:vAlign w:val="center"/>
          </w:tcPr>
          <w:p w14:paraId="1B12B532" w14:textId="20E65A10" w:rsidR="00582C8A" w:rsidRPr="004D0DFE" w:rsidRDefault="00582C8A" w:rsidP="00582C8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4D0DFE">
              <w:rPr>
                <w:rFonts w:ascii="Arial" w:hAnsi="Arial" w:cs="Arial"/>
                <w:sz w:val="18"/>
                <w:szCs w:val="18"/>
              </w:rPr>
              <w:t>Dosing information could not be found</w:t>
            </w:r>
          </w:p>
        </w:tc>
      </w:tr>
      <w:tr w:rsidR="00D40060" w:rsidRPr="0036529E" w14:paraId="638EDA26" w14:textId="77777777" w:rsidTr="00F914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vAlign w:val="center"/>
          </w:tcPr>
          <w:p w14:paraId="386AA3F0" w14:textId="2A3821BD" w:rsidR="00D40060" w:rsidRDefault="00D40060" w:rsidP="00582C8A">
            <w:pPr>
              <w:pStyle w:val="NoSpacing"/>
              <w:rPr>
                <w:rFonts w:ascii="Arial" w:hAnsi="Arial" w:cs="Arial"/>
                <w:b w:val="0"/>
                <w:bCs w:val="0"/>
                <w:sz w:val="18"/>
                <w:szCs w:val="18"/>
              </w:rPr>
            </w:pPr>
            <w:r>
              <w:rPr>
                <w:rFonts w:ascii="Arial" w:hAnsi="Arial" w:cs="Arial"/>
                <w:b w:val="0"/>
                <w:bCs w:val="0"/>
                <w:sz w:val="18"/>
                <w:szCs w:val="18"/>
              </w:rPr>
              <w:t>Brain (CNS)</w:t>
            </w:r>
          </w:p>
        </w:tc>
        <w:tc>
          <w:tcPr>
            <w:tcW w:w="3307" w:type="dxa"/>
            <w:vAlign w:val="center"/>
          </w:tcPr>
          <w:p w14:paraId="51811643" w14:textId="77777777" w:rsidR="00D40060" w:rsidRDefault="00D40060" w:rsidP="00582C8A">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Cisplatin monotherapy</w:t>
            </w:r>
          </w:p>
          <w:p w14:paraId="6F8B962B" w14:textId="77777777" w:rsidR="00D40060" w:rsidRDefault="00D40060" w:rsidP="00582C8A">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14:paraId="6E201343" w14:textId="5F05D121" w:rsidR="00D40060" w:rsidRDefault="00D40060" w:rsidP="00582C8A">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Carboplatin monotherapy</w:t>
            </w:r>
          </w:p>
        </w:tc>
        <w:tc>
          <w:tcPr>
            <w:tcW w:w="2003" w:type="dxa"/>
            <w:vAlign w:val="center"/>
          </w:tcPr>
          <w:p w14:paraId="5F8FF2D0" w14:textId="5CEEF60A" w:rsidR="00D40060" w:rsidRDefault="00F9146B" w:rsidP="00582C8A">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Pr>
                <w:rFonts w:ascii="Arial" w:hAnsi="Arial" w:cs="Arial"/>
                <w:bCs/>
                <w:sz w:val="18"/>
                <w:szCs w:val="18"/>
              </w:rPr>
              <w:t>15177, 15221</w:t>
            </w:r>
          </w:p>
        </w:tc>
        <w:tc>
          <w:tcPr>
            <w:tcW w:w="4590" w:type="dxa"/>
            <w:vAlign w:val="center"/>
          </w:tcPr>
          <w:p w14:paraId="306310F8" w14:textId="46E046BE" w:rsidR="00D40060" w:rsidRPr="004D0DFE" w:rsidRDefault="00D40060" w:rsidP="00582C8A">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D40060">
              <w:rPr>
                <w:rFonts w:ascii="Arial" w:hAnsi="Arial" w:cs="Arial"/>
                <w:sz w:val="18"/>
                <w:szCs w:val="18"/>
              </w:rPr>
              <w:t>We excluded the cisplatin and carboplatin monotherapy regimens for ependymoma, because the cited NCCN reference (https//www.ncbi.nlm.nih.gov/pubmed/15912507) did not actually support single-agent platinum and no dosing references for this indication were available.</w:t>
            </w:r>
          </w:p>
        </w:tc>
      </w:tr>
      <w:tr w:rsidR="00D40060" w:rsidRPr="0036529E" w14:paraId="7ABDD77C" w14:textId="77777777" w:rsidTr="00F9146B">
        <w:trPr>
          <w:trHeight w:val="899"/>
        </w:trPr>
        <w:tc>
          <w:tcPr>
            <w:cnfStyle w:val="001000000000" w:firstRow="0" w:lastRow="0" w:firstColumn="1" w:lastColumn="0" w:oddVBand="0" w:evenVBand="0" w:oddHBand="0" w:evenHBand="0" w:firstRowFirstColumn="0" w:firstRowLastColumn="0" w:lastRowFirstColumn="0" w:lastRowLastColumn="0"/>
            <w:tcW w:w="2358" w:type="dxa"/>
            <w:vAlign w:val="center"/>
          </w:tcPr>
          <w:p w14:paraId="2F9947AF" w14:textId="46732561" w:rsidR="00D40060" w:rsidRDefault="00D40060" w:rsidP="00582C8A">
            <w:pPr>
              <w:pStyle w:val="NoSpacing"/>
              <w:rPr>
                <w:rFonts w:ascii="Arial" w:hAnsi="Arial" w:cs="Arial"/>
                <w:b w:val="0"/>
                <w:bCs w:val="0"/>
                <w:sz w:val="18"/>
                <w:szCs w:val="18"/>
              </w:rPr>
            </w:pPr>
            <w:r>
              <w:rPr>
                <w:rFonts w:ascii="Arial" w:hAnsi="Arial" w:cs="Arial"/>
                <w:b w:val="0"/>
                <w:bCs w:val="0"/>
                <w:sz w:val="18"/>
                <w:szCs w:val="18"/>
              </w:rPr>
              <w:t>Brain (CNS)</w:t>
            </w:r>
          </w:p>
        </w:tc>
        <w:tc>
          <w:tcPr>
            <w:tcW w:w="3307" w:type="dxa"/>
            <w:vAlign w:val="center"/>
          </w:tcPr>
          <w:p w14:paraId="1A186FAF" w14:textId="77777777" w:rsidR="007B202E" w:rsidRDefault="007B202E" w:rsidP="007B202E">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02E">
              <w:rPr>
                <w:rFonts w:ascii="Arial" w:hAnsi="Arial" w:cs="Arial"/>
                <w:sz w:val="18"/>
                <w:szCs w:val="18"/>
              </w:rPr>
              <w:t>High-dose cyclophosphamide</w:t>
            </w:r>
          </w:p>
          <w:p w14:paraId="019632C7" w14:textId="77777777" w:rsidR="007B202E" w:rsidRPr="007B202E" w:rsidRDefault="007B202E" w:rsidP="007B202E">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3681533C" w14:textId="74AD3FF0" w:rsidR="007B202E" w:rsidRDefault="007B202E" w:rsidP="007B202E">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02E">
              <w:rPr>
                <w:rFonts w:ascii="Arial" w:hAnsi="Arial" w:cs="Arial"/>
                <w:sz w:val="18"/>
                <w:szCs w:val="18"/>
              </w:rPr>
              <w:t>High-dose cyclophosphamide</w:t>
            </w:r>
            <w:r>
              <w:rPr>
                <w:rFonts w:ascii="Arial" w:hAnsi="Arial" w:cs="Arial"/>
                <w:sz w:val="18"/>
                <w:szCs w:val="18"/>
              </w:rPr>
              <w:t xml:space="preserve"> and</w:t>
            </w:r>
            <w:r w:rsidRPr="007B202E">
              <w:rPr>
                <w:rFonts w:ascii="Arial" w:hAnsi="Arial" w:cs="Arial"/>
                <w:sz w:val="18"/>
                <w:szCs w:val="18"/>
              </w:rPr>
              <w:t xml:space="preserve"> etoposide</w:t>
            </w:r>
          </w:p>
          <w:p w14:paraId="39FE010F" w14:textId="77777777" w:rsidR="007B202E" w:rsidRPr="007B202E" w:rsidRDefault="007B202E" w:rsidP="007B202E">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1A62E34A" w14:textId="7159E216" w:rsidR="007B202E" w:rsidRDefault="007B202E" w:rsidP="007B202E">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02E">
              <w:rPr>
                <w:rFonts w:ascii="Arial" w:hAnsi="Arial" w:cs="Arial"/>
                <w:sz w:val="18"/>
                <w:szCs w:val="18"/>
              </w:rPr>
              <w:t>Carboplatin</w:t>
            </w:r>
            <w:r>
              <w:rPr>
                <w:rFonts w:ascii="Arial" w:hAnsi="Arial" w:cs="Arial"/>
                <w:sz w:val="18"/>
                <w:szCs w:val="18"/>
              </w:rPr>
              <w:t xml:space="preserve">, </w:t>
            </w:r>
            <w:r w:rsidRPr="007B202E">
              <w:rPr>
                <w:rFonts w:ascii="Arial" w:hAnsi="Arial" w:cs="Arial"/>
                <w:sz w:val="18"/>
                <w:szCs w:val="18"/>
              </w:rPr>
              <w:t>etoposid</w:t>
            </w:r>
            <w:r>
              <w:rPr>
                <w:rFonts w:ascii="Arial" w:hAnsi="Arial" w:cs="Arial"/>
                <w:sz w:val="18"/>
                <w:szCs w:val="18"/>
              </w:rPr>
              <w:t>e, and</w:t>
            </w:r>
            <w:r w:rsidRPr="007B202E">
              <w:rPr>
                <w:rFonts w:ascii="Arial" w:hAnsi="Arial" w:cs="Arial"/>
                <w:sz w:val="18"/>
                <w:szCs w:val="18"/>
              </w:rPr>
              <w:t xml:space="preserve"> cyclophosphamide</w:t>
            </w:r>
          </w:p>
          <w:p w14:paraId="79875CCC" w14:textId="77777777" w:rsidR="007B202E" w:rsidRPr="007B202E" w:rsidRDefault="007B202E" w:rsidP="007B202E">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265FD400" w14:textId="5B0AF21C" w:rsidR="00D40060" w:rsidRDefault="007B202E" w:rsidP="007B202E">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7B202E">
              <w:rPr>
                <w:rFonts w:ascii="Arial" w:hAnsi="Arial" w:cs="Arial"/>
                <w:sz w:val="18"/>
                <w:szCs w:val="18"/>
              </w:rPr>
              <w:t>Cisplatin</w:t>
            </w:r>
            <w:r>
              <w:rPr>
                <w:rFonts w:ascii="Arial" w:hAnsi="Arial" w:cs="Arial"/>
                <w:sz w:val="18"/>
                <w:szCs w:val="18"/>
              </w:rPr>
              <w:t xml:space="preserve">, </w:t>
            </w:r>
            <w:r w:rsidRPr="007B202E">
              <w:rPr>
                <w:rFonts w:ascii="Arial" w:hAnsi="Arial" w:cs="Arial"/>
                <w:sz w:val="18"/>
                <w:szCs w:val="18"/>
              </w:rPr>
              <w:t>etoposide</w:t>
            </w:r>
            <w:r>
              <w:rPr>
                <w:rFonts w:ascii="Arial" w:hAnsi="Arial" w:cs="Arial"/>
                <w:sz w:val="18"/>
                <w:szCs w:val="18"/>
              </w:rPr>
              <w:t>, and</w:t>
            </w:r>
            <w:r w:rsidRPr="007B202E">
              <w:rPr>
                <w:rFonts w:ascii="Arial" w:hAnsi="Arial" w:cs="Arial"/>
                <w:sz w:val="18"/>
                <w:szCs w:val="18"/>
              </w:rPr>
              <w:t xml:space="preserve"> cyclophosphamide</w:t>
            </w:r>
          </w:p>
        </w:tc>
        <w:tc>
          <w:tcPr>
            <w:tcW w:w="2003" w:type="dxa"/>
            <w:vAlign w:val="center"/>
          </w:tcPr>
          <w:p w14:paraId="4554CC28" w14:textId="685136A8" w:rsidR="00D40060" w:rsidRPr="00CE5519" w:rsidRDefault="0048205E" w:rsidP="00582C8A">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CE5519">
              <w:rPr>
                <w:rFonts w:ascii="Arial" w:hAnsi="Arial" w:cs="Arial"/>
                <w:bCs/>
                <w:sz w:val="18"/>
                <w:szCs w:val="18"/>
              </w:rPr>
              <w:t>15128</w:t>
            </w:r>
            <w:r w:rsidR="00F9146B" w:rsidRPr="00CE5519">
              <w:rPr>
                <w:rFonts w:ascii="Arial" w:hAnsi="Arial" w:cs="Arial"/>
                <w:bCs/>
                <w:sz w:val="18"/>
                <w:szCs w:val="18"/>
              </w:rPr>
              <w:t xml:space="preserve"> – 15133, 15137 – 15142</w:t>
            </w:r>
          </w:p>
        </w:tc>
        <w:tc>
          <w:tcPr>
            <w:tcW w:w="4590" w:type="dxa"/>
            <w:vAlign w:val="center"/>
          </w:tcPr>
          <w:p w14:paraId="6128F14C" w14:textId="6F97B1D2" w:rsidR="00D40060" w:rsidRPr="00CE5519" w:rsidRDefault="00CE5519" w:rsidP="00CE5519">
            <w:pPr>
              <w:numPr>
                <w:ilvl w:val="0"/>
                <w:numId w:val="0"/>
              </w:numPr>
              <w:cnfStyle w:val="000000000000" w:firstRow="0" w:lastRow="0" w:firstColumn="0" w:lastColumn="0" w:oddVBand="0" w:evenVBand="0" w:oddHBand="0" w:evenHBand="0" w:firstRowFirstColumn="0" w:firstRowLastColumn="0" w:lastRowFirstColumn="0" w:lastRowLastColumn="0"/>
              <w:rPr>
                <w:sz w:val="18"/>
                <w:szCs w:val="18"/>
              </w:rPr>
            </w:pPr>
            <w:r w:rsidRPr="00CE5519">
              <w:rPr>
                <w:sz w:val="18"/>
                <w:szCs w:val="18"/>
              </w:rPr>
              <w:t>For medulloblastoma, we excluded the "high dose cyclophosphamide” and platinum/etoposide/cyclophosphamide regimens because no references or external dosing schedules were available</w:t>
            </w:r>
          </w:p>
        </w:tc>
      </w:tr>
      <w:tr w:rsidR="000F2C4F" w:rsidRPr="0036529E" w14:paraId="6B5EE8E3" w14:textId="77777777" w:rsidTr="00F9146B">
        <w:trPr>
          <w:cnfStyle w:val="000000100000" w:firstRow="0" w:lastRow="0" w:firstColumn="0" w:lastColumn="0" w:oddVBand="0" w:evenVBand="0" w:oddHBand="1" w:evenHBand="0" w:firstRowFirstColumn="0" w:firstRowLastColumn="0" w:lastRowFirstColumn="0" w:lastRowLastColumn="0"/>
          <w:trHeight w:val="899"/>
        </w:trPr>
        <w:tc>
          <w:tcPr>
            <w:cnfStyle w:val="001000000000" w:firstRow="0" w:lastRow="0" w:firstColumn="1" w:lastColumn="0" w:oddVBand="0" w:evenVBand="0" w:oddHBand="0" w:evenHBand="0" w:firstRowFirstColumn="0" w:firstRowLastColumn="0" w:lastRowFirstColumn="0" w:lastRowLastColumn="0"/>
            <w:tcW w:w="2358" w:type="dxa"/>
            <w:vAlign w:val="center"/>
          </w:tcPr>
          <w:p w14:paraId="232F57E3" w14:textId="6963331D" w:rsidR="000F2C4F" w:rsidRDefault="000F2C4F" w:rsidP="00582C8A">
            <w:pPr>
              <w:pStyle w:val="NoSpacing"/>
              <w:rPr>
                <w:rFonts w:ascii="Arial" w:hAnsi="Arial" w:cs="Arial"/>
                <w:sz w:val="18"/>
                <w:szCs w:val="18"/>
              </w:rPr>
            </w:pPr>
            <w:r>
              <w:rPr>
                <w:rFonts w:ascii="Arial" w:hAnsi="Arial" w:cs="Arial"/>
                <w:b w:val="0"/>
                <w:bCs w:val="0"/>
                <w:sz w:val="18"/>
                <w:szCs w:val="18"/>
              </w:rPr>
              <w:lastRenderedPageBreak/>
              <w:t>Brain (CNS)</w:t>
            </w:r>
          </w:p>
        </w:tc>
        <w:tc>
          <w:tcPr>
            <w:tcW w:w="3307" w:type="dxa"/>
            <w:vAlign w:val="center"/>
          </w:tcPr>
          <w:p w14:paraId="6A4B72EF" w14:textId="1DACBD7F" w:rsidR="000F2C4F" w:rsidRPr="007B202E" w:rsidRDefault="000F2C4F" w:rsidP="000F2C4F">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w:t>
            </w:r>
          </w:p>
        </w:tc>
        <w:tc>
          <w:tcPr>
            <w:tcW w:w="2003" w:type="dxa"/>
            <w:vAlign w:val="center"/>
          </w:tcPr>
          <w:p w14:paraId="6B852200" w14:textId="5A79D767" w:rsidR="000F2C4F" w:rsidRPr="00CE5519" w:rsidRDefault="000F2C4F" w:rsidP="000F2C4F">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Pr>
                <w:rFonts w:ascii="Arial" w:hAnsi="Arial" w:cs="Arial"/>
                <w:bCs/>
                <w:sz w:val="18"/>
                <w:szCs w:val="18"/>
              </w:rPr>
              <w:t>-</w:t>
            </w:r>
          </w:p>
        </w:tc>
        <w:tc>
          <w:tcPr>
            <w:tcW w:w="4590" w:type="dxa"/>
            <w:vAlign w:val="center"/>
          </w:tcPr>
          <w:p w14:paraId="6D763868" w14:textId="46548AAB" w:rsidR="000F2C4F" w:rsidRPr="00CE5519" w:rsidRDefault="000F2C4F" w:rsidP="00CE5519">
            <w:pPr>
              <w:numPr>
                <w:ilvl w:val="0"/>
                <w:numId w:val="0"/>
              </w:num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Excluded regimens for brain metastases</w:t>
            </w:r>
          </w:p>
        </w:tc>
      </w:tr>
      <w:tr w:rsidR="000F2C4F" w:rsidRPr="0036529E" w14:paraId="630CB6D4" w14:textId="77777777" w:rsidTr="00F9146B">
        <w:trPr>
          <w:trHeight w:val="899"/>
        </w:trPr>
        <w:tc>
          <w:tcPr>
            <w:cnfStyle w:val="001000000000" w:firstRow="0" w:lastRow="0" w:firstColumn="1" w:lastColumn="0" w:oddVBand="0" w:evenVBand="0" w:oddHBand="0" w:evenHBand="0" w:firstRowFirstColumn="0" w:firstRowLastColumn="0" w:lastRowFirstColumn="0" w:lastRowLastColumn="0"/>
            <w:tcW w:w="2358" w:type="dxa"/>
            <w:vAlign w:val="center"/>
          </w:tcPr>
          <w:p w14:paraId="1BBFAD7B" w14:textId="4E09FBE8" w:rsidR="000F2C4F" w:rsidRPr="000F2C4F" w:rsidRDefault="000F2C4F" w:rsidP="00582C8A">
            <w:pPr>
              <w:pStyle w:val="NoSpacing"/>
              <w:rPr>
                <w:rFonts w:ascii="Arial" w:hAnsi="Arial" w:cs="Arial"/>
                <w:b w:val="0"/>
                <w:bCs w:val="0"/>
                <w:sz w:val="18"/>
                <w:szCs w:val="18"/>
              </w:rPr>
            </w:pPr>
            <w:r w:rsidRPr="000F2C4F">
              <w:rPr>
                <w:rFonts w:ascii="Arial" w:hAnsi="Arial" w:cs="Arial"/>
                <w:b w:val="0"/>
                <w:bCs w:val="0"/>
                <w:sz w:val="18"/>
                <w:szCs w:val="18"/>
              </w:rPr>
              <w:t>Chronic Lymphocytic Leukemia (CLL)</w:t>
            </w:r>
          </w:p>
        </w:tc>
        <w:tc>
          <w:tcPr>
            <w:tcW w:w="3307" w:type="dxa"/>
            <w:vAlign w:val="center"/>
          </w:tcPr>
          <w:p w14:paraId="236EFF5B" w14:textId="54A760B9" w:rsidR="000F2C4F" w:rsidRDefault="000F2C4F" w:rsidP="000F2C4F">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Alemtuzumab</w:t>
            </w:r>
          </w:p>
        </w:tc>
        <w:tc>
          <w:tcPr>
            <w:tcW w:w="2003" w:type="dxa"/>
            <w:vAlign w:val="center"/>
          </w:tcPr>
          <w:p w14:paraId="74471E52" w14:textId="34367419" w:rsidR="000F2C4F" w:rsidRDefault="000F2C4F" w:rsidP="000F2C4F">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Pr>
                <w:rFonts w:ascii="Arial" w:hAnsi="Arial" w:cs="Arial"/>
                <w:bCs/>
                <w:sz w:val="18"/>
                <w:szCs w:val="18"/>
              </w:rPr>
              <w:t>-</w:t>
            </w:r>
          </w:p>
        </w:tc>
        <w:tc>
          <w:tcPr>
            <w:tcW w:w="4590" w:type="dxa"/>
            <w:vAlign w:val="center"/>
          </w:tcPr>
          <w:p w14:paraId="67632EF1" w14:textId="32F405C6" w:rsidR="000F2C4F" w:rsidRDefault="000F2C4F" w:rsidP="00913F18">
            <w:pPr>
              <w:numPr>
                <w:ilvl w:val="0"/>
                <w:numId w:val="0"/>
              </w:numPr>
              <w:cnfStyle w:val="000000000000" w:firstRow="0" w:lastRow="0" w:firstColumn="0" w:lastColumn="0" w:oddVBand="0" w:evenVBand="0" w:oddHBand="0" w:evenHBand="0" w:firstRowFirstColumn="0" w:firstRowLastColumn="0" w:lastRowFirstColumn="0" w:lastRowLastColumn="0"/>
              <w:rPr>
                <w:sz w:val="18"/>
                <w:szCs w:val="18"/>
              </w:rPr>
            </w:pPr>
            <w:r w:rsidRPr="000F2C4F">
              <w:rPr>
                <w:sz w:val="18"/>
                <w:szCs w:val="18"/>
              </w:rPr>
              <w:t xml:space="preserve">All alemtuzumab regimens are excluded. </w:t>
            </w:r>
            <w:r>
              <w:rPr>
                <w:sz w:val="18"/>
                <w:szCs w:val="18"/>
              </w:rPr>
              <w:t>A</w:t>
            </w:r>
            <w:r w:rsidRPr="000F2C4F">
              <w:rPr>
                <w:sz w:val="18"/>
                <w:szCs w:val="18"/>
              </w:rPr>
              <w:t xml:space="preserve">lemtuzumab, brand name </w:t>
            </w:r>
            <w:proofErr w:type="spellStart"/>
            <w:r w:rsidRPr="000F2C4F">
              <w:rPr>
                <w:sz w:val="18"/>
                <w:szCs w:val="18"/>
              </w:rPr>
              <w:t>Campath</w:t>
            </w:r>
            <w:proofErr w:type="spellEnd"/>
            <w:r w:rsidRPr="000F2C4F">
              <w:rPr>
                <w:sz w:val="18"/>
                <w:szCs w:val="18"/>
              </w:rPr>
              <w:t xml:space="preserve">, was approved for use in CLL until 2012 when it was pulled from the market. Lemtrada was then introduced as a branded version of alemtuzumab indicated for multiple sclerosis at a much lower dose (and higher price) than the original CLL approval. The pharmaceutical company offers </w:t>
            </w:r>
            <w:proofErr w:type="spellStart"/>
            <w:r w:rsidRPr="000F2C4F">
              <w:rPr>
                <w:sz w:val="18"/>
                <w:szCs w:val="18"/>
              </w:rPr>
              <w:t>Campath</w:t>
            </w:r>
            <w:proofErr w:type="spellEnd"/>
            <w:r w:rsidRPr="000F2C4F">
              <w:rPr>
                <w:sz w:val="18"/>
                <w:szCs w:val="18"/>
              </w:rPr>
              <w:t xml:space="preserve"> for free to patients with CLL under the US </w:t>
            </w:r>
            <w:proofErr w:type="spellStart"/>
            <w:r w:rsidRPr="000F2C4F">
              <w:rPr>
                <w:sz w:val="18"/>
                <w:szCs w:val="18"/>
              </w:rPr>
              <w:t>Campath</w:t>
            </w:r>
            <w:proofErr w:type="spellEnd"/>
            <w:r w:rsidRPr="000F2C4F">
              <w:rPr>
                <w:sz w:val="18"/>
                <w:szCs w:val="18"/>
              </w:rPr>
              <w:t xml:space="preserve"> Distribution Program.</w:t>
            </w:r>
            <w:r>
              <w:rPr>
                <w:sz w:val="18"/>
                <w:szCs w:val="18"/>
              </w:rPr>
              <w:t xml:space="preserve"> </w:t>
            </w:r>
            <w:r w:rsidRPr="000F2C4F">
              <w:rPr>
                <w:sz w:val="18"/>
                <w:szCs w:val="18"/>
              </w:rPr>
              <w:t>Sources:</w:t>
            </w:r>
            <w:r>
              <w:rPr>
                <w:sz w:val="18"/>
                <w:szCs w:val="18"/>
              </w:rPr>
              <w:t xml:space="preserve"> </w:t>
            </w:r>
            <w:hyperlink r:id="rId31" w:history="1">
              <w:proofErr w:type="spellStart"/>
              <w:r w:rsidRPr="000F2C4F">
                <w:rPr>
                  <w:rStyle w:val="Hyperlink"/>
                  <w:sz w:val="18"/>
                  <w:szCs w:val="18"/>
                </w:rPr>
                <w:t>MDedge</w:t>
              </w:r>
              <w:proofErr w:type="spellEnd"/>
              <w:r w:rsidRPr="000F2C4F">
                <w:rPr>
                  <w:rStyle w:val="Hyperlink"/>
                  <w:sz w:val="18"/>
                  <w:szCs w:val="18"/>
                </w:rPr>
                <w:t xml:space="preserve">: MD Use Leads to Free </w:t>
              </w:r>
              <w:proofErr w:type="spellStart"/>
              <w:r w:rsidRPr="000F2C4F">
                <w:rPr>
                  <w:rStyle w:val="Hyperlink"/>
                  <w:sz w:val="18"/>
                  <w:szCs w:val="18"/>
                </w:rPr>
                <w:t>Campath</w:t>
              </w:r>
              <w:proofErr w:type="spellEnd"/>
              <w:r w:rsidRPr="000F2C4F">
                <w:rPr>
                  <w:rStyle w:val="Hyperlink"/>
                  <w:sz w:val="18"/>
                  <w:szCs w:val="18"/>
                </w:rPr>
                <w:t xml:space="preserve"> for Leukemia Patients</w:t>
              </w:r>
            </w:hyperlink>
            <w:r w:rsidRPr="000F2C4F">
              <w:rPr>
                <w:sz w:val="18"/>
                <w:szCs w:val="18"/>
              </w:rPr>
              <w:t xml:space="preserve"> </w:t>
            </w:r>
            <w:r>
              <w:rPr>
                <w:sz w:val="18"/>
                <w:szCs w:val="18"/>
              </w:rPr>
              <w:t xml:space="preserve">/ </w:t>
            </w:r>
            <w:hyperlink r:id="rId32" w:history="1">
              <w:r w:rsidRPr="000F2C4F">
                <w:rPr>
                  <w:rStyle w:val="Hyperlink"/>
                  <w:sz w:val="18"/>
                  <w:szCs w:val="18"/>
                </w:rPr>
                <w:t>AAPC forum</w:t>
              </w:r>
            </w:hyperlink>
          </w:p>
        </w:tc>
      </w:tr>
      <w:tr w:rsidR="002F54B4" w:rsidRPr="0036529E" w14:paraId="320D072E" w14:textId="77777777" w:rsidTr="002F54B4">
        <w:trPr>
          <w:cnfStyle w:val="000000100000" w:firstRow="0" w:lastRow="0" w:firstColumn="0" w:lastColumn="0" w:oddVBand="0" w:evenVBand="0" w:oddHBand="1"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2358" w:type="dxa"/>
            <w:vAlign w:val="center"/>
          </w:tcPr>
          <w:p w14:paraId="2737625A" w14:textId="5C1A62B5" w:rsidR="002F54B4" w:rsidRPr="000F2C4F" w:rsidRDefault="002F54B4" w:rsidP="00582C8A">
            <w:pPr>
              <w:pStyle w:val="NoSpacing"/>
              <w:rPr>
                <w:rFonts w:ascii="Arial" w:hAnsi="Arial" w:cs="Arial"/>
                <w:sz w:val="18"/>
                <w:szCs w:val="18"/>
              </w:rPr>
            </w:pPr>
            <w:r w:rsidRPr="000F2C4F">
              <w:rPr>
                <w:rFonts w:ascii="Arial" w:hAnsi="Arial" w:cs="Arial"/>
                <w:b w:val="0"/>
                <w:bCs w:val="0"/>
                <w:sz w:val="18"/>
                <w:szCs w:val="18"/>
              </w:rPr>
              <w:t>Chronic Lymphocytic Leukemia (CLL)</w:t>
            </w:r>
          </w:p>
        </w:tc>
        <w:tc>
          <w:tcPr>
            <w:tcW w:w="3307" w:type="dxa"/>
            <w:vAlign w:val="center"/>
          </w:tcPr>
          <w:p w14:paraId="12C4CD65" w14:textId="08A535D6" w:rsidR="002F54B4" w:rsidRDefault="002F54B4" w:rsidP="000F2C4F">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roofErr w:type="spellStart"/>
            <w:r>
              <w:rPr>
                <w:rFonts w:ascii="Arial" w:hAnsi="Arial" w:cs="Arial"/>
                <w:sz w:val="18"/>
                <w:szCs w:val="18"/>
              </w:rPr>
              <w:t>Nivolumab+rituximab</w:t>
            </w:r>
            <w:proofErr w:type="spellEnd"/>
            <w:r>
              <w:rPr>
                <w:rFonts w:ascii="Arial" w:hAnsi="Arial" w:cs="Arial"/>
                <w:sz w:val="18"/>
                <w:szCs w:val="18"/>
              </w:rPr>
              <w:t xml:space="preserve"> and </w:t>
            </w:r>
            <w:proofErr w:type="spellStart"/>
            <w:r>
              <w:rPr>
                <w:rFonts w:ascii="Arial" w:hAnsi="Arial" w:cs="Arial"/>
                <w:sz w:val="18"/>
                <w:szCs w:val="18"/>
              </w:rPr>
              <w:t>pembrolizumab+rituximab</w:t>
            </w:r>
            <w:proofErr w:type="spellEnd"/>
          </w:p>
        </w:tc>
        <w:tc>
          <w:tcPr>
            <w:tcW w:w="2003" w:type="dxa"/>
            <w:vAlign w:val="center"/>
          </w:tcPr>
          <w:p w14:paraId="23086619" w14:textId="4047B638" w:rsidR="002F54B4" w:rsidRDefault="002F54B4" w:rsidP="000F2C4F">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Pr>
                <w:rFonts w:ascii="Arial" w:hAnsi="Arial" w:cs="Arial"/>
                <w:bCs/>
                <w:sz w:val="18"/>
                <w:szCs w:val="18"/>
              </w:rPr>
              <w:t>17105, 17107</w:t>
            </w:r>
          </w:p>
        </w:tc>
        <w:tc>
          <w:tcPr>
            <w:tcW w:w="4590" w:type="dxa"/>
            <w:vAlign w:val="center"/>
          </w:tcPr>
          <w:p w14:paraId="14418EB9" w14:textId="3A4F95E7" w:rsidR="002F54B4" w:rsidRPr="000F2C4F" w:rsidRDefault="002F54B4" w:rsidP="00913F18">
            <w:pPr>
              <w:numPr>
                <w:ilvl w:val="0"/>
                <w:numId w:val="0"/>
              </w:num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We were unable to find any supporting evidence for these regimens, and suspected they may have been included erroneously </w:t>
            </w:r>
          </w:p>
        </w:tc>
      </w:tr>
      <w:tr w:rsidR="0016621A" w:rsidRPr="0036529E" w14:paraId="7C26AC05" w14:textId="77777777" w:rsidTr="00F9146B">
        <w:tc>
          <w:tcPr>
            <w:cnfStyle w:val="001000000000" w:firstRow="0" w:lastRow="0" w:firstColumn="1" w:lastColumn="0" w:oddVBand="0" w:evenVBand="0" w:oddHBand="0" w:evenHBand="0" w:firstRowFirstColumn="0" w:firstRowLastColumn="0" w:lastRowFirstColumn="0" w:lastRowLastColumn="0"/>
            <w:tcW w:w="2358" w:type="dxa"/>
            <w:vAlign w:val="center"/>
          </w:tcPr>
          <w:p w14:paraId="2F826BE4" w14:textId="0DA61457" w:rsidR="0016621A" w:rsidRDefault="0016621A" w:rsidP="00582C8A">
            <w:pPr>
              <w:pStyle w:val="NoSpacing"/>
              <w:rPr>
                <w:rFonts w:ascii="Arial" w:hAnsi="Arial" w:cs="Arial"/>
                <w:b w:val="0"/>
                <w:bCs w:val="0"/>
                <w:sz w:val="18"/>
                <w:szCs w:val="18"/>
              </w:rPr>
            </w:pPr>
            <w:r>
              <w:rPr>
                <w:rFonts w:ascii="Arial" w:hAnsi="Arial" w:cs="Arial"/>
                <w:b w:val="0"/>
                <w:bCs w:val="0"/>
                <w:sz w:val="18"/>
                <w:szCs w:val="18"/>
              </w:rPr>
              <w:t>Gallbladder</w:t>
            </w:r>
          </w:p>
        </w:tc>
        <w:tc>
          <w:tcPr>
            <w:tcW w:w="3307" w:type="dxa"/>
            <w:vAlign w:val="center"/>
          </w:tcPr>
          <w:p w14:paraId="7E4C3BCD" w14:textId="77777777" w:rsidR="0016621A" w:rsidRPr="0016621A" w:rsidRDefault="0016621A" w:rsidP="0016621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6621A">
              <w:rPr>
                <w:rFonts w:ascii="Arial" w:hAnsi="Arial" w:cs="Arial"/>
                <w:sz w:val="18"/>
                <w:szCs w:val="18"/>
              </w:rPr>
              <w:t>Fluoropyrimidine-based or gemcitabine-based chemo followed by 5-fluorouracil and RT</w:t>
            </w:r>
          </w:p>
          <w:p w14:paraId="4D9F3037" w14:textId="77777777" w:rsidR="0016621A" w:rsidRPr="0016621A" w:rsidRDefault="0016621A" w:rsidP="0016621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6F099AD9" w14:textId="77777777" w:rsidR="0016621A" w:rsidRPr="0016621A" w:rsidRDefault="0016621A" w:rsidP="0016621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6621A">
              <w:rPr>
                <w:rFonts w:ascii="Arial" w:hAnsi="Arial" w:cs="Arial"/>
                <w:sz w:val="18"/>
                <w:szCs w:val="18"/>
              </w:rPr>
              <w:t>Fluoropyrimidine-based or gemcitabine-based chemo followed by capecitabine and RT</w:t>
            </w:r>
          </w:p>
          <w:p w14:paraId="5E86741C" w14:textId="77777777" w:rsidR="0016621A" w:rsidRPr="0016621A" w:rsidRDefault="0016621A" w:rsidP="0016621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67214AFC" w14:textId="77777777" w:rsidR="0016621A" w:rsidRPr="0016621A" w:rsidRDefault="0016621A" w:rsidP="0016621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6621A">
              <w:rPr>
                <w:rFonts w:ascii="Arial" w:hAnsi="Arial" w:cs="Arial"/>
                <w:sz w:val="18"/>
                <w:szCs w:val="18"/>
              </w:rPr>
              <w:t xml:space="preserve">5-fluorouracil and RT followed by </w:t>
            </w:r>
            <w:proofErr w:type="spellStart"/>
            <w:r w:rsidRPr="0016621A">
              <w:rPr>
                <w:rFonts w:ascii="Arial" w:hAnsi="Arial" w:cs="Arial"/>
                <w:sz w:val="18"/>
                <w:szCs w:val="18"/>
              </w:rPr>
              <w:t>fluoropyramidine</w:t>
            </w:r>
            <w:proofErr w:type="spellEnd"/>
            <w:r w:rsidRPr="0016621A">
              <w:rPr>
                <w:rFonts w:ascii="Arial" w:hAnsi="Arial" w:cs="Arial"/>
                <w:sz w:val="18"/>
                <w:szCs w:val="18"/>
              </w:rPr>
              <w:t>-based or gemcitabine based chemotherapy</w:t>
            </w:r>
          </w:p>
          <w:p w14:paraId="03468635" w14:textId="77777777" w:rsidR="0016621A" w:rsidRPr="0016621A" w:rsidRDefault="0016621A" w:rsidP="0016621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43975EDE" w14:textId="77777777" w:rsidR="0016621A" w:rsidRPr="0016621A" w:rsidRDefault="0016621A" w:rsidP="0016621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6621A">
              <w:rPr>
                <w:rFonts w:ascii="Arial" w:hAnsi="Arial" w:cs="Arial"/>
                <w:sz w:val="18"/>
                <w:szCs w:val="18"/>
              </w:rPr>
              <w:t xml:space="preserve">Capecitabine and RT followed by </w:t>
            </w:r>
            <w:proofErr w:type="spellStart"/>
            <w:r w:rsidRPr="0016621A">
              <w:rPr>
                <w:rFonts w:ascii="Arial" w:hAnsi="Arial" w:cs="Arial"/>
                <w:sz w:val="18"/>
                <w:szCs w:val="18"/>
              </w:rPr>
              <w:t>fluoropyramidine</w:t>
            </w:r>
            <w:proofErr w:type="spellEnd"/>
            <w:r w:rsidRPr="0016621A">
              <w:rPr>
                <w:rFonts w:ascii="Arial" w:hAnsi="Arial" w:cs="Arial"/>
                <w:sz w:val="18"/>
                <w:szCs w:val="18"/>
              </w:rPr>
              <w:t>-based or gemcitabine based chemotherapy</w:t>
            </w:r>
          </w:p>
          <w:p w14:paraId="211F4CA9" w14:textId="77777777" w:rsidR="0016621A" w:rsidRPr="0016621A" w:rsidRDefault="0016621A" w:rsidP="0016621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48CCA9FD" w14:textId="77777777" w:rsidR="0016621A" w:rsidRPr="0016621A" w:rsidRDefault="0016621A" w:rsidP="0016621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6621A">
              <w:rPr>
                <w:rFonts w:ascii="Arial" w:hAnsi="Arial" w:cs="Arial"/>
                <w:sz w:val="18"/>
                <w:szCs w:val="18"/>
              </w:rPr>
              <w:t>Fluoropyrimidine-based or gemcitabine-based chemo followed by 5-fluoroucil and RT</w:t>
            </w:r>
          </w:p>
          <w:p w14:paraId="6EA22A65" w14:textId="77777777" w:rsidR="0016621A" w:rsidRPr="0016621A" w:rsidRDefault="0016621A" w:rsidP="0016621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p w14:paraId="3971E5EA" w14:textId="5E415C93" w:rsidR="0016621A" w:rsidRDefault="0016621A" w:rsidP="0016621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6621A">
              <w:rPr>
                <w:rFonts w:ascii="Arial" w:hAnsi="Arial" w:cs="Arial"/>
                <w:sz w:val="18"/>
                <w:szCs w:val="18"/>
              </w:rPr>
              <w:t>Fluoropyrimidine-based or gemcitabine-based chemo followed by capecitabine and RT</w:t>
            </w:r>
          </w:p>
        </w:tc>
        <w:tc>
          <w:tcPr>
            <w:tcW w:w="2003" w:type="dxa"/>
            <w:vAlign w:val="center"/>
          </w:tcPr>
          <w:p w14:paraId="618E24E9" w14:textId="3A88147D" w:rsidR="0016621A" w:rsidRDefault="0016621A" w:rsidP="00582C8A">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6621A">
              <w:rPr>
                <w:rFonts w:ascii="Arial" w:hAnsi="Arial" w:cs="Arial"/>
                <w:sz w:val="18"/>
                <w:szCs w:val="18"/>
              </w:rPr>
              <w:t>24042, 24043, 24068 – 24071</w:t>
            </w:r>
          </w:p>
        </w:tc>
        <w:tc>
          <w:tcPr>
            <w:tcW w:w="4590" w:type="dxa"/>
            <w:vAlign w:val="center"/>
          </w:tcPr>
          <w:p w14:paraId="252AF5DB" w14:textId="36F3C6A5" w:rsidR="0016621A" w:rsidRPr="002C4892" w:rsidRDefault="0016621A" w:rsidP="00582C8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6621A">
              <w:rPr>
                <w:rFonts w:ascii="Arial" w:hAnsi="Arial" w:cs="Arial"/>
                <w:sz w:val="18"/>
                <w:szCs w:val="18"/>
              </w:rPr>
              <w:t>The regimens "Fluoropyrimidine-based or gemcitabine-based chemo" were excluded due to insufficient specificity regarding the components of these regimens</w:t>
            </w:r>
          </w:p>
        </w:tc>
      </w:tr>
      <w:tr w:rsidR="002C4892" w:rsidRPr="0036529E" w14:paraId="78F6C209" w14:textId="77777777" w:rsidTr="00F914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vAlign w:val="center"/>
          </w:tcPr>
          <w:p w14:paraId="336639C7" w14:textId="3C972DEC" w:rsidR="002C4892" w:rsidRPr="004D0DFE" w:rsidRDefault="002C4892" w:rsidP="00582C8A">
            <w:pPr>
              <w:pStyle w:val="NoSpacing"/>
              <w:rPr>
                <w:rFonts w:ascii="Arial" w:hAnsi="Arial" w:cs="Arial"/>
                <w:b w:val="0"/>
                <w:bCs w:val="0"/>
                <w:sz w:val="18"/>
                <w:szCs w:val="18"/>
              </w:rPr>
            </w:pPr>
            <w:r>
              <w:rPr>
                <w:rFonts w:ascii="Arial" w:hAnsi="Arial" w:cs="Arial"/>
                <w:b w:val="0"/>
                <w:bCs w:val="0"/>
                <w:sz w:val="18"/>
                <w:szCs w:val="18"/>
              </w:rPr>
              <w:t>Melanoma</w:t>
            </w:r>
          </w:p>
        </w:tc>
        <w:tc>
          <w:tcPr>
            <w:tcW w:w="3307" w:type="dxa"/>
            <w:vAlign w:val="center"/>
          </w:tcPr>
          <w:p w14:paraId="73C3676C" w14:textId="215443E3" w:rsidR="002C4892" w:rsidRPr="004D0DFE" w:rsidRDefault="002C4892" w:rsidP="00582C8A">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BCG intralesional injection</w:t>
            </w:r>
          </w:p>
        </w:tc>
        <w:tc>
          <w:tcPr>
            <w:tcW w:w="2003" w:type="dxa"/>
            <w:vAlign w:val="center"/>
          </w:tcPr>
          <w:p w14:paraId="2A639C29" w14:textId="0DCEE75E" w:rsidR="002C4892" w:rsidRPr="004D0DFE" w:rsidRDefault="002C4892" w:rsidP="00582C8A">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20020, 20027</w:t>
            </w:r>
          </w:p>
        </w:tc>
        <w:tc>
          <w:tcPr>
            <w:tcW w:w="4590" w:type="dxa"/>
            <w:vAlign w:val="center"/>
          </w:tcPr>
          <w:p w14:paraId="4A6AA989" w14:textId="56022AE4" w:rsidR="002C4892" w:rsidRPr="004D0DFE" w:rsidRDefault="002C4892" w:rsidP="00582C8A">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C4892">
              <w:rPr>
                <w:rFonts w:ascii="Arial" w:hAnsi="Arial" w:cs="Arial"/>
                <w:sz w:val="18"/>
                <w:szCs w:val="18"/>
              </w:rPr>
              <w:t>Excluded BCG injection because the units of drug varied between dosing and pricing sources (vials vs. number of organisms)</w:t>
            </w:r>
          </w:p>
        </w:tc>
      </w:tr>
      <w:tr w:rsidR="00582C8A" w:rsidRPr="0036529E" w14:paraId="1E3EBE00" w14:textId="77777777" w:rsidTr="00F9146B">
        <w:tc>
          <w:tcPr>
            <w:cnfStyle w:val="001000000000" w:firstRow="0" w:lastRow="0" w:firstColumn="1" w:lastColumn="0" w:oddVBand="0" w:evenVBand="0" w:oddHBand="0" w:evenHBand="0" w:firstRowFirstColumn="0" w:firstRowLastColumn="0" w:lastRowFirstColumn="0" w:lastRowLastColumn="0"/>
            <w:tcW w:w="2358" w:type="dxa"/>
            <w:vAlign w:val="center"/>
          </w:tcPr>
          <w:p w14:paraId="0D8829F3" w14:textId="68A4354A" w:rsidR="00582C8A" w:rsidRPr="004D0DFE" w:rsidRDefault="00582C8A" w:rsidP="00582C8A">
            <w:pPr>
              <w:pStyle w:val="NoSpacing"/>
              <w:rPr>
                <w:rFonts w:ascii="Arial" w:hAnsi="Arial" w:cs="Arial"/>
                <w:b w:val="0"/>
                <w:bCs w:val="0"/>
                <w:sz w:val="18"/>
                <w:szCs w:val="18"/>
              </w:rPr>
            </w:pPr>
            <w:r w:rsidRPr="004D0DFE">
              <w:rPr>
                <w:rFonts w:ascii="Arial" w:hAnsi="Arial" w:cs="Arial"/>
                <w:b w:val="0"/>
                <w:bCs w:val="0"/>
                <w:sz w:val="18"/>
                <w:szCs w:val="18"/>
              </w:rPr>
              <w:lastRenderedPageBreak/>
              <w:t>Melanoma</w:t>
            </w:r>
          </w:p>
        </w:tc>
        <w:tc>
          <w:tcPr>
            <w:tcW w:w="3307" w:type="dxa"/>
            <w:vAlign w:val="center"/>
          </w:tcPr>
          <w:p w14:paraId="3BBE1928" w14:textId="7E9D42A7" w:rsidR="00582C8A" w:rsidRPr="004D0DFE" w:rsidRDefault="00582C8A" w:rsidP="00582C8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4D0DFE">
              <w:rPr>
                <w:rFonts w:ascii="Arial" w:hAnsi="Arial" w:cs="Arial"/>
                <w:sz w:val="18"/>
                <w:szCs w:val="18"/>
              </w:rPr>
              <w:t>Topical imiquimod</w:t>
            </w:r>
          </w:p>
        </w:tc>
        <w:tc>
          <w:tcPr>
            <w:tcW w:w="2003" w:type="dxa"/>
            <w:vAlign w:val="center"/>
          </w:tcPr>
          <w:p w14:paraId="06D7F11F" w14:textId="7212FAA6" w:rsidR="00582C8A" w:rsidRPr="004D0DFE" w:rsidRDefault="00582C8A" w:rsidP="00582C8A">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4D0DFE">
              <w:rPr>
                <w:rFonts w:ascii="Arial" w:hAnsi="Arial" w:cs="Arial"/>
                <w:sz w:val="18"/>
                <w:szCs w:val="18"/>
              </w:rPr>
              <w:t>20023, 20030</w:t>
            </w:r>
          </w:p>
        </w:tc>
        <w:tc>
          <w:tcPr>
            <w:tcW w:w="4590" w:type="dxa"/>
            <w:vAlign w:val="center"/>
          </w:tcPr>
          <w:p w14:paraId="2549E0B8" w14:textId="5D26A76B" w:rsidR="00582C8A" w:rsidRPr="004D0DFE" w:rsidRDefault="00582C8A" w:rsidP="00582C8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4D0DFE">
              <w:rPr>
                <w:rFonts w:ascii="Arial" w:hAnsi="Arial" w:cs="Arial"/>
                <w:sz w:val="18"/>
                <w:szCs w:val="18"/>
              </w:rPr>
              <w:t xml:space="preserve">Difficult to dose and price, and </w:t>
            </w:r>
            <w:proofErr w:type="spellStart"/>
            <w:r w:rsidRPr="004D0DFE">
              <w:rPr>
                <w:rFonts w:ascii="Arial" w:hAnsi="Arial" w:cs="Arial"/>
                <w:sz w:val="18"/>
                <w:szCs w:val="18"/>
              </w:rPr>
              <w:t>RedBook</w:t>
            </w:r>
            <w:proofErr w:type="spellEnd"/>
            <w:r w:rsidRPr="004D0DFE">
              <w:rPr>
                <w:rFonts w:ascii="Arial" w:hAnsi="Arial" w:cs="Arial"/>
                <w:sz w:val="18"/>
                <w:szCs w:val="18"/>
              </w:rPr>
              <w:t xml:space="preserve"> has different units (% or mg) per quarter</w:t>
            </w:r>
          </w:p>
        </w:tc>
      </w:tr>
      <w:tr w:rsidR="00582C8A" w:rsidRPr="0036529E" w14:paraId="1B76BD5B" w14:textId="77777777" w:rsidTr="00F914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vAlign w:val="center"/>
          </w:tcPr>
          <w:p w14:paraId="680BC098" w14:textId="2EF18A1D" w:rsidR="00582C8A" w:rsidRPr="004D0DFE" w:rsidRDefault="00582C8A" w:rsidP="00582C8A">
            <w:pPr>
              <w:pStyle w:val="NoSpacing"/>
              <w:rPr>
                <w:rFonts w:ascii="Arial" w:hAnsi="Arial" w:cs="Arial"/>
                <w:b w:val="0"/>
                <w:bCs w:val="0"/>
                <w:sz w:val="18"/>
                <w:szCs w:val="18"/>
              </w:rPr>
            </w:pPr>
            <w:r w:rsidRPr="004D0DFE">
              <w:rPr>
                <w:rFonts w:ascii="Arial" w:hAnsi="Arial" w:cs="Arial"/>
                <w:b w:val="0"/>
                <w:bCs w:val="0"/>
                <w:sz w:val="18"/>
                <w:szCs w:val="18"/>
              </w:rPr>
              <w:t>Ovarian</w:t>
            </w:r>
          </w:p>
        </w:tc>
        <w:tc>
          <w:tcPr>
            <w:tcW w:w="3307" w:type="dxa"/>
            <w:vAlign w:val="center"/>
          </w:tcPr>
          <w:p w14:paraId="25E862B5" w14:textId="034C5700" w:rsidR="00582C8A" w:rsidRPr="004D0DFE" w:rsidRDefault="00582C8A" w:rsidP="00582C8A">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4D0DFE">
              <w:rPr>
                <w:rFonts w:ascii="Arial" w:hAnsi="Arial" w:cs="Arial"/>
                <w:sz w:val="18"/>
                <w:szCs w:val="18"/>
              </w:rPr>
              <w:t>Altretamine</w:t>
            </w:r>
          </w:p>
        </w:tc>
        <w:tc>
          <w:tcPr>
            <w:tcW w:w="2003" w:type="dxa"/>
            <w:vAlign w:val="center"/>
          </w:tcPr>
          <w:p w14:paraId="5F1F8B46" w14:textId="22B25406" w:rsidR="00582C8A" w:rsidRPr="004D0DFE" w:rsidRDefault="00582C8A" w:rsidP="00582C8A">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4D0DFE">
              <w:rPr>
                <w:rFonts w:ascii="Arial" w:hAnsi="Arial" w:cs="Arial"/>
                <w:sz w:val="18"/>
                <w:szCs w:val="18"/>
              </w:rPr>
              <w:t>29069, 29103, 29146, 29177</w:t>
            </w:r>
          </w:p>
        </w:tc>
        <w:tc>
          <w:tcPr>
            <w:tcW w:w="4590" w:type="dxa"/>
            <w:vAlign w:val="center"/>
          </w:tcPr>
          <w:p w14:paraId="582EEE3F" w14:textId="2E4E266D" w:rsidR="00582C8A" w:rsidRPr="004D0DFE" w:rsidRDefault="00582C8A" w:rsidP="00582C8A">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4D0DFE">
              <w:rPr>
                <w:rFonts w:ascii="Arial" w:hAnsi="Arial" w:cs="Arial"/>
                <w:sz w:val="18"/>
                <w:szCs w:val="18"/>
              </w:rPr>
              <w:t>Not available in the US</w:t>
            </w:r>
          </w:p>
        </w:tc>
      </w:tr>
      <w:tr w:rsidR="00582C8A" w:rsidRPr="0036529E" w14:paraId="2F02428F" w14:textId="77777777" w:rsidTr="00F9146B">
        <w:tc>
          <w:tcPr>
            <w:cnfStyle w:val="001000000000" w:firstRow="0" w:lastRow="0" w:firstColumn="1" w:lastColumn="0" w:oddVBand="0" w:evenVBand="0" w:oddHBand="0" w:evenHBand="0" w:firstRowFirstColumn="0" w:firstRowLastColumn="0" w:lastRowFirstColumn="0" w:lastRowLastColumn="0"/>
            <w:tcW w:w="2358" w:type="dxa"/>
            <w:vAlign w:val="center"/>
          </w:tcPr>
          <w:p w14:paraId="689EF01F" w14:textId="6CCA22F9" w:rsidR="00582C8A" w:rsidRPr="004D0DFE" w:rsidRDefault="00582C8A" w:rsidP="00582C8A">
            <w:pPr>
              <w:pStyle w:val="NoSpacing"/>
              <w:rPr>
                <w:rFonts w:ascii="Arial" w:hAnsi="Arial" w:cs="Arial"/>
                <w:b w:val="0"/>
                <w:bCs w:val="0"/>
                <w:sz w:val="18"/>
                <w:szCs w:val="18"/>
              </w:rPr>
            </w:pPr>
            <w:r>
              <w:rPr>
                <w:rFonts w:ascii="Arial" w:hAnsi="Arial" w:cs="Arial"/>
                <w:b w:val="0"/>
                <w:bCs w:val="0"/>
                <w:sz w:val="18"/>
                <w:szCs w:val="18"/>
              </w:rPr>
              <w:t>Ovarian</w:t>
            </w:r>
          </w:p>
        </w:tc>
        <w:tc>
          <w:tcPr>
            <w:tcW w:w="3307" w:type="dxa"/>
            <w:vAlign w:val="center"/>
          </w:tcPr>
          <w:p w14:paraId="346ED0E5" w14:textId="21ACAD22" w:rsidR="00582C8A" w:rsidRDefault="00582C8A" w:rsidP="00582C8A">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w:t>
            </w:r>
          </w:p>
        </w:tc>
        <w:tc>
          <w:tcPr>
            <w:tcW w:w="2003" w:type="dxa"/>
            <w:vAlign w:val="center"/>
          </w:tcPr>
          <w:p w14:paraId="1A50AFCB" w14:textId="787AC2CC" w:rsidR="00582C8A" w:rsidRDefault="00582C8A" w:rsidP="00582C8A">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w:t>
            </w:r>
          </w:p>
        </w:tc>
        <w:tc>
          <w:tcPr>
            <w:tcW w:w="4590" w:type="dxa"/>
            <w:vAlign w:val="center"/>
          </w:tcPr>
          <w:p w14:paraId="2474C6FB" w14:textId="15F27233" w:rsidR="00582C8A" w:rsidRPr="00744C3B" w:rsidRDefault="00582C8A" w:rsidP="00582C8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582C8A">
              <w:rPr>
                <w:rFonts w:ascii="Arial" w:hAnsi="Arial" w:cs="Arial"/>
                <w:sz w:val="18"/>
                <w:szCs w:val="18"/>
              </w:rPr>
              <w:t>We excluded intraperitoneal regimens because sources for standard dosing parameters were not available</w:t>
            </w:r>
          </w:p>
        </w:tc>
      </w:tr>
      <w:tr w:rsidR="00913F18" w:rsidRPr="0036529E" w14:paraId="09744F1D" w14:textId="77777777" w:rsidTr="00F914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vAlign w:val="center"/>
          </w:tcPr>
          <w:p w14:paraId="78953718" w14:textId="33134E9E" w:rsidR="00913F18" w:rsidRDefault="00913F18" w:rsidP="00582C8A">
            <w:pPr>
              <w:pStyle w:val="NoSpacing"/>
              <w:rPr>
                <w:rFonts w:ascii="Arial" w:hAnsi="Arial" w:cs="Arial"/>
                <w:sz w:val="18"/>
                <w:szCs w:val="18"/>
              </w:rPr>
            </w:pPr>
            <w:r>
              <w:rPr>
                <w:rFonts w:ascii="Arial" w:hAnsi="Arial" w:cs="Arial"/>
                <w:b w:val="0"/>
                <w:bCs w:val="0"/>
                <w:sz w:val="18"/>
                <w:szCs w:val="18"/>
              </w:rPr>
              <w:t>Ovarian</w:t>
            </w:r>
          </w:p>
        </w:tc>
        <w:tc>
          <w:tcPr>
            <w:tcW w:w="3307" w:type="dxa"/>
            <w:vAlign w:val="center"/>
          </w:tcPr>
          <w:p w14:paraId="0F6F7E7F" w14:textId="4FBA3CC1" w:rsidR="00913F18" w:rsidRDefault="00913F18" w:rsidP="00913F18">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Maintenance bevacizumab</w:t>
            </w:r>
          </w:p>
        </w:tc>
        <w:tc>
          <w:tcPr>
            <w:tcW w:w="2003" w:type="dxa"/>
            <w:vAlign w:val="center"/>
          </w:tcPr>
          <w:p w14:paraId="43547B78" w14:textId="6E4EB3E9" w:rsidR="00913F18" w:rsidRDefault="00913F18" w:rsidP="00582C8A">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w:t>
            </w:r>
          </w:p>
        </w:tc>
        <w:tc>
          <w:tcPr>
            <w:tcW w:w="4590" w:type="dxa"/>
            <w:vAlign w:val="center"/>
          </w:tcPr>
          <w:p w14:paraId="1B118050" w14:textId="089ABA91" w:rsidR="00913F18" w:rsidRPr="00582C8A" w:rsidRDefault="00913F18" w:rsidP="00582C8A">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913F18">
              <w:rPr>
                <w:rFonts w:ascii="Arial" w:hAnsi="Arial" w:cs="Arial"/>
                <w:sz w:val="18"/>
                <w:szCs w:val="18"/>
              </w:rPr>
              <w:t>Excluded maintenance bevacizumab because the maintenance period is included in the GOG and ICON-7 regimens (unique ID 29130)</w:t>
            </w:r>
          </w:p>
        </w:tc>
      </w:tr>
      <w:tr w:rsidR="00F9146B" w:rsidRPr="0036529E" w14:paraId="7E473668" w14:textId="77777777" w:rsidTr="00F9146B">
        <w:tc>
          <w:tcPr>
            <w:cnfStyle w:val="001000000000" w:firstRow="0" w:lastRow="0" w:firstColumn="1" w:lastColumn="0" w:oddVBand="0" w:evenVBand="0" w:oddHBand="0" w:evenHBand="0" w:firstRowFirstColumn="0" w:firstRowLastColumn="0" w:lastRowFirstColumn="0" w:lastRowLastColumn="0"/>
            <w:tcW w:w="2358" w:type="dxa"/>
            <w:vAlign w:val="center"/>
          </w:tcPr>
          <w:p w14:paraId="354B1710" w14:textId="69FF02CE" w:rsidR="00582C8A" w:rsidRPr="004D0DFE" w:rsidRDefault="00582C8A" w:rsidP="00582C8A">
            <w:pPr>
              <w:pStyle w:val="NoSpacing"/>
              <w:rPr>
                <w:rFonts w:ascii="Arial" w:hAnsi="Arial" w:cs="Arial"/>
                <w:b w:val="0"/>
                <w:bCs w:val="0"/>
                <w:sz w:val="18"/>
                <w:szCs w:val="18"/>
              </w:rPr>
            </w:pPr>
            <w:r w:rsidRPr="004D0DFE">
              <w:rPr>
                <w:rFonts w:ascii="Arial" w:hAnsi="Arial" w:cs="Arial"/>
                <w:b w:val="0"/>
                <w:bCs w:val="0"/>
                <w:sz w:val="18"/>
                <w:szCs w:val="18"/>
              </w:rPr>
              <w:t>Sarcoma (Soft Tissue)</w:t>
            </w:r>
          </w:p>
        </w:tc>
        <w:tc>
          <w:tcPr>
            <w:tcW w:w="3307" w:type="dxa"/>
            <w:vAlign w:val="center"/>
          </w:tcPr>
          <w:p w14:paraId="1CC093D6" w14:textId="771B7824" w:rsidR="00582C8A" w:rsidRPr="004D0DFE" w:rsidRDefault="00582C8A" w:rsidP="00582C8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Pr>
                <w:rFonts w:ascii="Arial" w:hAnsi="Arial" w:cs="Arial"/>
                <w:sz w:val="18"/>
                <w:szCs w:val="18"/>
              </w:rPr>
              <w:t>Low-dose interferon</w:t>
            </w:r>
          </w:p>
        </w:tc>
        <w:tc>
          <w:tcPr>
            <w:tcW w:w="2003" w:type="dxa"/>
            <w:vAlign w:val="center"/>
          </w:tcPr>
          <w:p w14:paraId="22F4361C" w14:textId="73DCFF13" w:rsidR="00582C8A" w:rsidRPr="004D0DFE" w:rsidRDefault="00582C8A" w:rsidP="00582C8A">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Pr>
                <w:rFonts w:ascii="Arial" w:hAnsi="Arial" w:cs="Arial"/>
                <w:sz w:val="18"/>
                <w:szCs w:val="18"/>
              </w:rPr>
              <w:t>-</w:t>
            </w:r>
          </w:p>
        </w:tc>
        <w:tc>
          <w:tcPr>
            <w:tcW w:w="4590" w:type="dxa"/>
            <w:vAlign w:val="center"/>
          </w:tcPr>
          <w:p w14:paraId="0DCCA0F3" w14:textId="003281CE" w:rsidR="00582C8A" w:rsidRPr="004D0DFE" w:rsidRDefault="00582C8A" w:rsidP="00582C8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744C3B">
              <w:rPr>
                <w:rFonts w:ascii="Arial" w:hAnsi="Arial" w:cs="Arial"/>
                <w:sz w:val="18"/>
                <w:szCs w:val="18"/>
              </w:rPr>
              <w:t>For desmoid sarcoma, lack of available dose</w:t>
            </w:r>
          </w:p>
        </w:tc>
      </w:tr>
      <w:tr w:rsidR="00D40060" w:rsidRPr="0036529E" w14:paraId="43C69958" w14:textId="77777777" w:rsidTr="00F914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8" w:type="dxa"/>
            <w:vAlign w:val="center"/>
          </w:tcPr>
          <w:p w14:paraId="73ACC7D4" w14:textId="2CAA5FBA" w:rsidR="00582C8A" w:rsidRPr="004D0DFE" w:rsidRDefault="00582C8A" w:rsidP="00582C8A">
            <w:pPr>
              <w:pStyle w:val="NoSpacing"/>
              <w:rPr>
                <w:rFonts w:ascii="Arial" w:hAnsi="Arial" w:cs="Arial"/>
                <w:b w:val="0"/>
                <w:bCs w:val="0"/>
                <w:sz w:val="18"/>
                <w:szCs w:val="18"/>
              </w:rPr>
            </w:pPr>
            <w:r w:rsidRPr="004D0DFE">
              <w:rPr>
                <w:rFonts w:ascii="Arial" w:hAnsi="Arial" w:cs="Arial"/>
                <w:b w:val="0"/>
                <w:bCs w:val="0"/>
                <w:sz w:val="18"/>
                <w:szCs w:val="18"/>
              </w:rPr>
              <w:t>Sarcoma (Soft Tissue)</w:t>
            </w:r>
          </w:p>
        </w:tc>
        <w:tc>
          <w:tcPr>
            <w:tcW w:w="3307" w:type="dxa"/>
            <w:vAlign w:val="center"/>
          </w:tcPr>
          <w:p w14:paraId="467B1371" w14:textId="1F273CA3" w:rsidR="00582C8A" w:rsidRPr="004D0DFE" w:rsidRDefault="00582C8A" w:rsidP="00582C8A">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4D0DFE">
              <w:rPr>
                <w:rFonts w:ascii="Arial" w:hAnsi="Arial" w:cs="Arial"/>
                <w:sz w:val="18"/>
                <w:szCs w:val="18"/>
              </w:rPr>
              <w:t>(VCD) Vincristine, cyclophosphamide, dactinomycin</w:t>
            </w:r>
          </w:p>
        </w:tc>
        <w:tc>
          <w:tcPr>
            <w:tcW w:w="2003" w:type="dxa"/>
            <w:vAlign w:val="center"/>
          </w:tcPr>
          <w:p w14:paraId="7AA5A09A" w14:textId="3F4E07D1" w:rsidR="00582C8A" w:rsidRDefault="00582C8A" w:rsidP="00582C8A">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w:t>
            </w:r>
          </w:p>
        </w:tc>
        <w:tc>
          <w:tcPr>
            <w:tcW w:w="4590" w:type="dxa"/>
            <w:vAlign w:val="center"/>
          </w:tcPr>
          <w:p w14:paraId="3F0F29E2" w14:textId="2F8EA528" w:rsidR="00582C8A" w:rsidRPr="004D0DFE" w:rsidRDefault="00582C8A" w:rsidP="00582C8A">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4D0DFE">
              <w:rPr>
                <w:rFonts w:ascii="Arial" w:hAnsi="Arial" w:cs="Arial"/>
                <w:sz w:val="18"/>
                <w:szCs w:val="18"/>
              </w:rPr>
              <w:t>For rhabdomyosarcoma, no citation for dosing of NON-alternating VCD regimen, and not a regimen specified on label, so excluded</w:t>
            </w:r>
          </w:p>
        </w:tc>
      </w:tr>
    </w:tbl>
    <w:p w14:paraId="12B5B113" w14:textId="3C680B6E" w:rsidR="001D0CF1" w:rsidRPr="005421F2" w:rsidRDefault="001D0CF1" w:rsidP="005D1B5B">
      <w:pPr>
        <w:numPr>
          <w:ilvl w:val="0"/>
          <w:numId w:val="0"/>
        </w:numPr>
        <w:rPr>
          <w:highlight w:val="yellow"/>
        </w:rPr>
        <w:sectPr w:rsidR="001D0CF1" w:rsidRPr="005421F2" w:rsidSect="0079101F">
          <w:pgSz w:w="15840" w:h="12240" w:orient="landscape"/>
          <w:pgMar w:top="1440" w:right="1440" w:bottom="1440" w:left="1440" w:header="720" w:footer="720" w:gutter="0"/>
          <w:cols w:space="720"/>
          <w:docGrid w:linePitch="360"/>
        </w:sectPr>
      </w:pPr>
    </w:p>
    <w:p w14:paraId="511704A1" w14:textId="546E0AFC" w:rsidR="00C9535C" w:rsidRPr="00FB2B15" w:rsidRDefault="00C9535C" w:rsidP="001D0CF1">
      <w:pPr>
        <w:pStyle w:val="NoSpacing"/>
        <w:rPr>
          <w:rFonts w:ascii="Arial" w:hAnsi="Arial" w:cs="Arial"/>
          <w:b/>
        </w:rPr>
      </w:pPr>
    </w:p>
    <w:sectPr w:rsidR="00C9535C" w:rsidRPr="00FB2B15" w:rsidSect="00EF347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BA6B7" w14:textId="77777777" w:rsidR="0032028E" w:rsidRDefault="0032028E" w:rsidP="00FC570C">
      <w:r>
        <w:separator/>
      </w:r>
    </w:p>
  </w:endnote>
  <w:endnote w:type="continuationSeparator" w:id="0">
    <w:p w14:paraId="7E90C1A4" w14:textId="77777777" w:rsidR="0032028E" w:rsidRDefault="0032028E" w:rsidP="00FC5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6177889"/>
      <w:docPartObj>
        <w:docPartGallery w:val="Page Numbers (Bottom of Page)"/>
        <w:docPartUnique/>
      </w:docPartObj>
    </w:sdtPr>
    <w:sdtEndPr>
      <w:rPr>
        <w:noProof/>
      </w:rPr>
    </w:sdtEndPr>
    <w:sdtContent>
      <w:p w14:paraId="2E57AEFC" w14:textId="46CE068F" w:rsidR="002F54B4" w:rsidRDefault="002F54B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76CA428" w14:textId="77777777" w:rsidR="00EC01FE" w:rsidRDefault="00EC01FE" w:rsidP="00693534">
    <w:pPr>
      <w:numPr>
        <w:ilvl w:val="0"/>
        <w:numId w:val="0"/>
      </w:numPr>
      <w:ind w:left="720" w:hanging="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06C0C" w14:textId="77777777" w:rsidR="0032028E" w:rsidRDefault="0032028E" w:rsidP="00FC570C">
      <w:r>
        <w:separator/>
      </w:r>
    </w:p>
  </w:footnote>
  <w:footnote w:type="continuationSeparator" w:id="0">
    <w:p w14:paraId="05860892" w14:textId="77777777" w:rsidR="0032028E" w:rsidRDefault="0032028E" w:rsidP="00FC57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DEF6A" w14:textId="77777777" w:rsidR="00693534" w:rsidRDefault="00693534" w:rsidP="00693534">
    <w:pPr>
      <w:pStyle w:val="Header"/>
      <w:numPr>
        <w:ilvl w:val="0"/>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A284C"/>
    <w:multiLevelType w:val="hybridMultilevel"/>
    <w:tmpl w:val="DFD22E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1A71AA"/>
    <w:multiLevelType w:val="hybridMultilevel"/>
    <w:tmpl w:val="88E2D2C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A03E7B"/>
    <w:multiLevelType w:val="hybridMultilevel"/>
    <w:tmpl w:val="8A846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A4074"/>
    <w:multiLevelType w:val="hybridMultilevel"/>
    <w:tmpl w:val="E732F0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F7456B6"/>
    <w:multiLevelType w:val="hybridMultilevel"/>
    <w:tmpl w:val="A150EB7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124331"/>
    <w:multiLevelType w:val="hybridMultilevel"/>
    <w:tmpl w:val="EED62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CE450F"/>
    <w:multiLevelType w:val="hybridMultilevel"/>
    <w:tmpl w:val="2B3633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4C7660"/>
    <w:multiLevelType w:val="hybridMultilevel"/>
    <w:tmpl w:val="9588FD98"/>
    <w:lvl w:ilvl="0" w:tplc="B7F01982">
      <w:start w:val="1"/>
      <w:numFmt w:val="bullet"/>
      <w:lvlText w:val=""/>
      <w:lvlJc w:val="left"/>
      <w:pPr>
        <w:ind w:left="720" w:hanging="360"/>
      </w:pPr>
      <w:rPr>
        <w:rFonts w:ascii="Symbol" w:hAnsi="Symbol" w:hint="default"/>
        <w:sz w:val="22"/>
        <w:szCs w:val="22"/>
      </w:rPr>
    </w:lvl>
    <w:lvl w:ilvl="1" w:tplc="7C4043DE">
      <w:start w:val="1"/>
      <w:numFmt w:val="bullet"/>
      <w:lvlText w:val=""/>
      <w:lvlJc w:val="left"/>
      <w:pPr>
        <w:ind w:left="1440" w:hanging="360"/>
      </w:pPr>
      <w:rPr>
        <w:rFonts w:ascii="Wingdings" w:hAnsi="Wingdings" w:hint="default"/>
        <w:sz w:val="22"/>
        <w:szCs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1E6D13"/>
    <w:multiLevelType w:val="hybridMultilevel"/>
    <w:tmpl w:val="4AA865FC"/>
    <w:lvl w:ilvl="0" w:tplc="20C805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DC7CCC"/>
    <w:multiLevelType w:val="hybridMultilevel"/>
    <w:tmpl w:val="167A9DF6"/>
    <w:lvl w:ilvl="0" w:tplc="767AAA4C">
      <w:start w:val="1"/>
      <w:numFmt w:val="bullet"/>
      <w:pStyle w:val="Norma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8727F7"/>
    <w:multiLevelType w:val="hybridMultilevel"/>
    <w:tmpl w:val="D98A1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543211"/>
    <w:multiLevelType w:val="hybridMultilevel"/>
    <w:tmpl w:val="A1666A0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C263A51"/>
    <w:multiLevelType w:val="hybridMultilevel"/>
    <w:tmpl w:val="2F761BF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D2F775B"/>
    <w:multiLevelType w:val="hybridMultilevel"/>
    <w:tmpl w:val="7A28D014"/>
    <w:lvl w:ilvl="0" w:tplc="9932A572">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45A68EA"/>
    <w:multiLevelType w:val="hybridMultilevel"/>
    <w:tmpl w:val="5FB07C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9775E6"/>
    <w:multiLevelType w:val="hybridMultilevel"/>
    <w:tmpl w:val="EA2674C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9C95D4B"/>
    <w:multiLevelType w:val="hybridMultilevel"/>
    <w:tmpl w:val="86CE13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69470B"/>
    <w:multiLevelType w:val="hybridMultilevel"/>
    <w:tmpl w:val="58CAD9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AB2AC5"/>
    <w:multiLevelType w:val="hybridMultilevel"/>
    <w:tmpl w:val="85080E72"/>
    <w:lvl w:ilvl="0" w:tplc="1CEE34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25840E2"/>
    <w:multiLevelType w:val="hybridMultilevel"/>
    <w:tmpl w:val="A3044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317461"/>
    <w:multiLevelType w:val="hybridMultilevel"/>
    <w:tmpl w:val="3C142DB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B30911"/>
    <w:multiLevelType w:val="hybridMultilevel"/>
    <w:tmpl w:val="449A4E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7BABC26">
      <w:numFmt w:val="bullet"/>
      <w:lvlText w:val="-"/>
      <w:lvlJc w:val="left"/>
      <w:pPr>
        <w:ind w:left="2160" w:hanging="360"/>
      </w:pPr>
      <w:rPr>
        <w:rFonts w:ascii="Calibri" w:eastAsiaTheme="minorHAns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AA5B8E"/>
    <w:multiLevelType w:val="hybridMultilevel"/>
    <w:tmpl w:val="576AF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BB1876"/>
    <w:multiLevelType w:val="hybridMultilevel"/>
    <w:tmpl w:val="198ED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5613CF"/>
    <w:multiLevelType w:val="hybridMultilevel"/>
    <w:tmpl w:val="573E53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8B7F40"/>
    <w:multiLevelType w:val="hybridMultilevel"/>
    <w:tmpl w:val="41EE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E153EC3"/>
    <w:multiLevelType w:val="hybridMultilevel"/>
    <w:tmpl w:val="F4C6DF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6284070">
    <w:abstractNumId w:val="11"/>
  </w:num>
  <w:num w:numId="2" w16cid:durableId="74282615">
    <w:abstractNumId w:val="23"/>
  </w:num>
  <w:num w:numId="3" w16cid:durableId="293681281">
    <w:abstractNumId w:val="13"/>
  </w:num>
  <w:num w:numId="4" w16cid:durableId="1918324275">
    <w:abstractNumId w:val="9"/>
  </w:num>
  <w:num w:numId="5" w16cid:durableId="567573359">
    <w:abstractNumId w:val="5"/>
  </w:num>
  <w:num w:numId="6" w16cid:durableId="1085029589">
    <w:abstractNumId w:val="26"/>
  </w:num>
  <w:num w:numId="7" w16cid:durableId="646276235">
    <w:abstractNumId w:val="8"/>
  </w:num>
  <w:num w:numId="8" w16cid:durableId="1119105052">
    <w:abstractNumId w:val="10"/>
  </w:num>
  <w:num w:numId="9" w16cid:durableId="590235749">
    <w:abstractNumId w:val="18"/>
  </w:num>
  <w:num w:numId="10" w16cid:durableId="652683545">
    <w:abstractNumId w:val="6"/>
  </w:num>
  <w:num w:numId="11" w16cid:durableId="1803186493">
    <w:abstractNumId w:val="0"/>
  </w:num>
  <w:num w:numId="12" w16cid:durableId="1657564626">
    <w:abstractNumId w:val="2"/>
  </w:num>
  <w:num w:numId="13" w16cid:durableId="1353461121">
    <w:abstractNumId w:val="21"/>
  </w:num>
  <w:num w:numId="14" w16cid:durableId="386683684">
    <w:abstractNumId w:val="1"/>
  </w:num>
  <w:num w:numId="15" w16cid:durableId="67457858">
    <w:abstractNumId w:val="4"/>
  </w:num>
  <w:num w:numId="16" w16cid:durableId="278882580">
    <w:abstractNumId w:val="12"/>
  </w:num>
  <w:num w:numId="17" w16cid:durableId="1043603710">
    <w:abstractNumId w:val="15"/>
  </w:num>
  <w:num w:numId="18" w16cid:durableId="1138649660">
    <w:abstractNumId w:val="20"/>
  </w:num>
  <w:num w:numId="19" w16cid:durableId="364985519">
    <w:abstractNumId w:val="16"/>
  </w:num>
  <w:num w:numId="20" w16cid:durableId="1380591519">
    <w:abstractNumId w:val="19"/>
  </w:num>
  <w:num w:numId="21" w16cid:durableId="2978843">
    <w:abstractNumId w:val="24"/>
  </w:num>
  <w:num w:numId="22" w16cid:durableId="226692387">
    <w:abstractNumId w:val="14"/>
  </w:num>
  <w:num w:numId="23" w16cid:durableId="1913348310">
    <w:abstractNumId w:val="17"/>
  </w:num>
  <w:num w:numId="24" w16cid:durableId="1942830408">
    <w:abstractNumId w:val="7"/>
  </w:num>
  <w:num w:numId="25" w16cid:durableId="1454519446">
    <w:abstractNumId w:val="3"/>
  </w:num>
  <w:num w:numId="26" w16cid:durableId="61997435">
    <w:abstractNumId w:val="22"/>
  </w:num>
  <w:num w:numId="27" w16cid:durableId="21266572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94F"/>
    <w:rsid w:val="00003B87"/>
    <w:rsid w:val="00006134"/>
    <w:rsid w:val="000126BC"/>
    <w:rsid w:val="0001393A"/>
    <w:rsid w:val="000332BD"/>
    <w:rsid w:val="0003480E"/>
    <w:rsid w:val="0003527C"/>
    <w:rsid w:val="0003527D"/>
    <w:rsid w:val="0003790A"/>
    <w:rsid w:val="00037F8E"/>
    <w:rsid w:val="000402E4"/>
    <w:rsid w:val="00046C5E"/>
    <w:rsid w:val="00055659"/>
    <w:rsid w:val="00060BD8"/>
    <w:rsid w:val="00062FB1"/>
    <w:rsid w:val="000656ED"/>
    <w:rsid w:val="00065E7D"/>
    <w:rsid w:val="000778B0"/>
    <w:rsid w:val="00080117"/>
    <w:rsid w:val="00083FFF"/>
    <w:rsid w:val="000848FE"/>
    <w:rsid w:val="00086F9D"/>
    <w:rsid w:val="00087779"/>
    <w:rsid w:val="000878BC"/>
    <w:rsid w:val="000A0EBD"/>
    <w:rsid w:val="000A2581"/>
    <w:rsid w:val="000B1951"/>
    <w:rsid w:val="000B2B6A"/>
    <w:rsid w:val="000B2C59"/>
    <w:rsid w:val="000C3E08"/>
    <w:rsid w:val="000D6D9D"/>
    <w:rsid w:val="000E09FA"/>
    <w:rsid w:val="000E17D9"/>
    <w:rsid w:val="000E2204"/>
    <w:rsid w:val="000E2DE1"/>
    <w:rsid w:val="000F10F5"/>
    <w:rsid w:val="000F2C4F"/>
    <w:rsid w:val="000F4DB0"/>
    <w:rsid w:val="00105CBF"/>
    <w:rsid w:val="00107501"/>
    <w:rsid w:val="00107CEA"/>
    <w:rsid w:val="0011033B"/>
    <w:rsid w:val="00115073"/>
    <w:rsid w:val="00116ACA"/>
    <w:rsid w:val="00117B51"/>
    <w:rsid w:val="0012556A"/>
    <w:rsid w:val="001424C6"/>
    <w:rsid w:val="00145396"/>
    <w:rsid w:val="001456E5"/>
    <w:rsid w:val="00147D90"/>
    <w:rsid w:val="001569C6"/>
    <w:rsid w:val="00160BF2"/>
    <w:rsid w:val="0016381F"/>
    <w:rsid w:val="0016621A"/>
    <w:rsid w:val="00174FEB"/>
    <w:rsid w:val="00175B19"/>
    <w:rsid w:val="00184FC7"/>
    <w:rsid w:val="0018583B"/>
    <w:rsid w:val="00190F48"/>
    <w:rsid w:val="001A11D9"/>
    <w:rsid w:val="001A1483"/>
    <w:rsid w:val="001B630F"/>
    <w:rsid w:val="001B751A"/>
    <w:rsid w:val="001D04F0"/>
    <w:rsid w:val="001D0CF1"/>
    <w:rsid w:val="001D0F72"/>
    <w:rsid w:val="001D3686"/>
    <w:rsid w:val="001D3F48"/>
    <w:rsid w:val="001D4987"/>
    <w:rsid w:val="001E1026"/>
    <w:rsid w:val="001E3E63"/>
    <w:rsid w:val="001E4800"/>
    <w:rsid w:val="001E49CC"/>
    <w:rsid w:val="001F2762"/>
    <w:rsid w:val="00202BC6"/>
    <w:rsid w:val="002066A7"/>
    <w:rsid w:val="00211DDA"/>
    <w:rsid w:val="00222B3D"/>
    <w:rsid w:val="00226FD9"/>
    <w:rsid w:val="00230BAB"/>
    <w:rsid w:val="00233EE8"/>
    <w:rsid w:val="00243F5A"/>
    <w:rsid w:val="00256241"/>
    <w:rsid w:val="00266869"/>
    <w:rsid w:val="00267F6B"/>
    <w:rsid w:val="00271F03"/>
    <w:rsid w:val="00274A6C"/>
    <w:rsid w:val="00285C55"/>
    <w:rsid w:val="002A0832"/>
    <w:rsid w:val="002B39CA"/>
    <w:rsid w:val="002B3B7B"/>
    <w:rsid w:val="002C239E"/>
    <w:rsid w:val="002C3C2F"/>
    <w:rsid w:val="002C4245"/>
    <w:rsid w:val="002C4892"/>
    <w:rsid w:val="002C77E5"/>
    <w:rsid w:val="002E0B70"/>
    <w:rsid w:val="002F54B4"/>
    <w:rsid w:val="003017C3"/>
    <w:rsid w:val="00303A2D"/>
    <w:rsid w:val="00303B8A"/>
    <w:rsid w:val="00303D30"/>
    <w:rsid w:val="00310B43"/>
    <w:rsid w:val="00310FEC"/>
    <w:rsid w:val="00311DCC"/>
    <w:rsid w:val="0032028E"/>
    <w:rsid w:val="0032694F"/>
    <w:rsid w:val="003274A4"/>
    <w:rsid w:val="00332188"/>
    <w:rsid w:val="00351985"/>
    <w:rsid w:val="00357D8A"/>
    <w:rsid w:val="003626CD"/>
    <w:rsid w:val="003627AF"/>
    <w:rsid w:val="0036529E"/>
    <w:rsid w:val="00367313"/>
    <w:rsid w:val="00370371"/>
    <w:rsid w:val="0037150F"/>
    <w:rsid w:val="00372679"/>
    <w:rsid w:val="00372C7A"/>
    <w:rsid w:val="00375C9D"/>
    <w:rsid w:val="00390376"/>
    <w:rsid w:val="0039337D"/>
    <w:rsid w:val="003A0DC6"/>
    <w:rsid w:val="003A12BB"/>
    <w:rsid w:val="003A2581"/>
    <w:rsid w:val="003A4A96"/>
    <w:rsid w:val="003A705C"/>
    <w:rsid w:val="003A719D"/>
    <w:rsid w:val="003B15E2"/>
    <w:rsid w:val="003C384E"/>
    <w:rsid w:val="003D2D23"/>
    <w:rsid w:val="003D64E6"/>
    <w:rsid w:val="003E291F"/>
    <w:rsid w:val="003F07C8"/>
    <w:rsid w:val="003F166C"/>
    <w:rsid w:val="003F2652"/>
    <w:rsid w:val="003F342D"/>
    <w:rsid w:val="003F3A85"/>
    <w:rsid w:val="003F540F"/>
    <w:rsid w:val="003F6C0E"/>
    <w:rsid w:val="00401C2B"/>
    <w:rsid w:val="004023AC"/>
    <w:rsid w:val="00412192"/>
    <w:rsid w:val="004137AA"/>
    <w:rsid w:val="00417326"/>
    <w:rsid w:val="00421EB0"/>
    <w:rsid w:val="004221C8"/>
    <w:rsid w:val="00424487"/>
    <w:rsid w:val="00426566"/>
    <w:rsid w:val="00430CA4"/>
    <w:rsid w:val="00436C86"/>
    <w:rsid w:val="004421B1"/>
    <w:rsid w:val="00450D4C"/>
    <w:rsid w:val="00481D20"/>
    <w:rsid w:val="0048205E"/>
    <w:rsid w:val="00482EC2"/>
    <w:rsid w:val="004908ED"/>
    <w:rsid w:val="00492254"/>
    <w:rsid w:val="00495B7F"/>
    <w:rsid w:val="00495D57"/>
    <w:rsid w:val="004A3310"/>
    <w:rsid w:val="004A3544"/>
    <w:rsid w:val="004A41A0"/>
    <w:rsid w:val="004A4C4E"/>
    <w:rsid w:val="004A748E"/>
    <w:rsid w:val="004B7024"/>
    <w:rsid w:val="004C2AFE"/>
    <w:rsid w:val="004C46CF"/>
    <w:rsid w:val="004C5C72"/>
    <w:rsid w:val="004C6B5B"/>
    <w:rsid w:val="004D0DFE"/>
    <w:rsid w:val="004E066C"/>
    <w:rsid w:val="004E4A68"/>
    <w:rsid w:val="004E5EBD"/>
    <w:rsid w:val="004E7180"/>
    <w:rsid w:val="004F138E"/>
    <w:rsid w:val="004F4AD9"/>
    <w:rsid w:val="004F5368"/>
    <w:rsid w:val="00500708"/>
    <w:rsid w:val="00510805"/>
    <w:rsid w:val="00514708"/>
    <w:rsid w:val="00517321"/>
    <w:rsid w:val="00522174"/>
    <w:rsid w:val="00534109"/>
    <w:rsid w:val="005370D2"/>
    <w:rsid w:val="0054055A"/>
    <w:rsid w:val="005421F2"/>
    <w:rsid w:val="00547508"/>
    <w:rsid w:val="0055689D"/>
    <w:rsid w:val="005711E7"/>
    <w:rsid w:val="0057279F"/>
    <w:rsid w:val="005820A5"/>
    <w:rsid w:val="00582C8A"/>
    <w:rsid w:val="00594B2A"/>
    <w:rsid w:val="00597B5A"/>
    <w:rsid w:val="005A2FE1"/>
    <w:rsid w:val="005A51B3"/>
    <w:rsid w:val="005C2D7E"/>
    <w:rsid w:val="005C35F1"/>
    <w:rsid w:val="005C4783"/>
    <w:rsid w:val="005C5B89"/>
    <w:rsid w:val="005D084B"/>
    <w:rsid w:val="005D0A05"/>
    <w:rsid w:val="005D1B5B"/>
    <w:rsid w:val="005E116B"/>
    <w:rsid w:val="005E34DD"/>
    <w:rsid w:val="005E35CD"/>
    <w:rsid w:val="006014F0"/>
    <w:rsid w:val="006163F7"/>
    <w:rsid w:val="00625635"/>
    <w:rsid w:val="00640EAE"/>
    <w:rsid w:val="00644DCD"/>
    <w:rsid w:val="006466F1"/>
    <w:rsid w:val="00666318"/>
    <w:rsid w:val="006671B2"/>
    <w:rsid w:val="00676328"/>
    <w:rsid w:val="00676A5F"/>
    <w:rsid w:val="00677AA2"/>
    <w:rsid w:val="0068029D"/>
    <w:rsid w:val="00682DDC"/>
    <w:rsid w:val="006841AD"/>
    <w:rsid w:val="00686A23"/>
    <w:rsid w:val="006906D4"/>
    <w:rsid w:val="00693534"/>
    <w:rsid w:val="00696307"/>
    <w:rsid w:val="00697120"/>
    <w:rsid w:val="006A1D02"/>
    <w:rsid w:val="006A58FF"/>
    <w:rsid w:val="006A7688"/>
    <w:rsid w:val="006B5542"/>
    <w:rsid w:val="006B7D4F"/>
    <w:rsid w:val="006C617E"/>
    <w:rsid w:val="006C6E8E"/>
    <w:rsid w:val="006D0426"/>
    <w:rsid w:val="006D234B"/>
    <w:rsid w:val="006D4F4B"/>
    <w:rsid w:val="006F1C29"/>
    <w:rsid w:val="006F2EF5"/>
    <w:rsid w:val="00700CAC"/>
    <w:rsid w:val="00702574"/>
    <w:rsid w:val="00706767"/>
    <w:rsid w:val="00706CA5"/>
    <w:rsid w:val="00706CE2"/>
    <w:rsid w:val="0071133A"/>
    <w:rsid w:val="00716107"/>
    <w:rsid w:val="00721059"/>
    <w:rsid w:val="007245E1"/>
    <w:rsid w:val="00725EBD"/>
    <w:rsid w:val="00733223"/>
    <w:rsid w:val="00736897"/>
    <w:rsid w:val="0074212F"/>
    <w:rsid w:val="00743CBF"/>
    <w:rsid w:val="00743ED7"/>
    <w:rsid w:val="00744C3B"/>
    <w:rsid w:val="00744CBA"/>
    <w:rsid w:val="00760C37"/>
    <w:rsid w:val="00761E4B"/>
    <w:rsid w:val="0076377C"/>
    <w:rsid w:val="00764E74"/>
    <w:rsid w:val="00764E7D"/>
    <w:rsid w:val="0077098D"/>
    <w:rsid w:val="00787CA4"/>
    <w:rsid w:val="0079101F"/>
    <w:rsid w:val="007A0F57"/>
    <w:rsid w:val="007A1E09"/>
    <w:rsid w:val="007B202E"/>
    <w:rsid w:val="007B439B"/>
    <w:rsid w:val="007B61F0"/>
    <w:rsid w:val="007B683B"/>
    <w:rsid w:val="007B76DE"/>
    <w:rsid w:val="007C4AB5"/>
    <w:rsid w:val="007C6D25"/>
    <w:rsid w:val="007D6273"/>
    <w:rsid w:val="007D6A62"/>
    <w:rsid w:val="007E02EC"/>
    <w:rsid w:val="007E1094"/>
    <w:rsid w:val="007F026F"/>
    <w:rsid w:val="007F1F00"/>
    <w:rsid w:val="007F5FFD"/>
    <w:rsid w:val="008028FD"/>
    <w:rsid w:val="00806A8B"/>
    <w:rsid w:val="00807D56"/>
    <w:rsid w:val="00813BFD"/>
    <w:rsid w:val="008234C7"/>
    <w:rsid w:val="008363B5"/>
    <w:rsid w:val="00840A1A"/>
    <w:rsid w:val="00840FEF"/>
    <w:rsid w:val="00842C88"/>
    <w:rsid w:val="0085213A"/>
    <w:rsid w:val="0086022A"/>
    <w:rsid w:val="00872EA2"/>
    <w:rsid w:val="0087719A"/>
    <w:rsid w:val="00877C80"/>
    <w:rsid w:val="00881FDF"/>
    <w:rsid w:val="00884919"/>
    <w:rsid w:val="00887FD8"/>
    <w:rsid w:val="0089019E"/>
    <w:rsid w:val="00895BAC"/>
    <w:rsid w:val="008967DD"/>
    <w:rsid w:val="008A7A9E"/>
    <w:rsid w:val="008B1450"/>
    <w:rsid w:val="008C35A1"/>
    <w:rsid w:val="008C4A8C"/>
    <w:rsid w:val="008D6E40"/>
    <w:rsid w:val="008E2A42"/>
    <w:rsid w:val="008F4E7D"/>
    <w:rsid w:val="008F5C99"/>
    <w:rsid w:val="008F7FA8"/>
    <w:rsid w:val="00910D30"/>
    <w:rsid w:val="00913F18"/>
    <w:rsid w:val="009213A2"/>
    <w:rsid w:val="00924198"/>
    <w:rsid w:val="00926794"/>
    <w:rsid w:val="00930ACD"/>
    <w:rsid w:val="00931857"/>
    <w:rsid w:val="009320D6"/>
    <w:rsid w:val="00934AD6"/>
    <w:rsid w:val="009369D7"/>
    <w:rsid w:val="00940632"/>
    <w:rsid w:val="00954021"/>
    <w:rsid w:val="00955C6C"/>
    <w:rsid w:val="00966A7F"/>
    <w:rsid w:val="00970956"/>
    <w:rsid w:val="0097115E"/>
    <w:rsid w:val="009720EC"/>
    <w:rsid w:val="00973F78"/>
    <w:rsid w:val="00973FB3"/>
    <w:rsid w:val="0098481F"/>
    <w:rsid w:val="009859EF"/>
    <w:rsid w:val="00992D6A"/>
    <w:rsid w:val="00994374"/>
    <w:rsid w:val="00996116"/>
    <w:rsid w:val="009A48A7"/>
    <w:rsid w:val="009B4EBE"/>
    <w:rsid w:val="009C615E"/>
    <w:rsid w:val="009C65AF"/>
    <w:rsid w:val="009D4141"/>
    <w:rsid w:val="009D57B3"/>
    <w:rsid w:val="009E3611"/>
    <w:rsid w:val="00A01C79"/>
    <w:rsid w:val="00A03C98"/>
    <w:rsid w:val="00A21A51"/>
    <w:rsid w:val="00A21F14"/>
    <w:rsid w:val="00A24CC9"/>
    <w:rsid w:val="00A320FA"/>
    <w:rsid w:val="00A3343D"/>
    <w:rsid w:val="00A342AA"/>
    <w:rsid w:val="00A348AE"/>
    <w:rsid w:val="00A349A9"/>
    <w:rsid w:val="00A35C22"/>
    <w:rsid w:val="00A548DC"/>
    <w:rsid w:val="00A55995"/>
    <w:rsid w:val="00A62DA6"/>
    <w:rsid w:val="00A63EB9"/>
    <w:rsid w:val="00A67367"/>
    <w:rsid w:val="00A81F9D"/>
    <w:rsid w:val="00A85B1B"/>
    <w:rsid w:val="00A90661"/>
    <w:rsid w:val="00AA0843"/>
    <w:rsid w:val="00AC5B24"/>
    <w:rsid w:val="00AC7AD0"/>
    <w:rsid w:val="00AD726D"/>
    <w:rsid w:val="00AF0EA1"/>
    <w:rsid w:val="00AF63DA"/>
    <w:rsid w:val="00AF6C8C"/>
    <w:rsid w:val="00AF7700"/>
    <w:rsid w:val="00B07387"/>
    <w:rsid w:val="00B117C9"/>
    <w:rsid w:val="00B14707"/>
    <w:rsid w:val="00B24470"/>
    <w:rsid w:val="00B342A0"/>
    <w:rsid w:val="00B34BF0"/>
    <w:rsid w:val="00B3770A"/>
    <w:rsid w:val="00B45305"/>
    <w:rsid w:val="00B618E7"/>
    <w:rsid w:val="00B6699A"/>
    <w:rsid w:val="00B74F85"/>
    <w:rsid w:val="00B81AA3"/>
    <w:rsid w:val="00B90715"/>
    <w:rsid w:val="00B921C1"/>
    <w:rsid w:val="00B929EC"/>
    <w:rsid w:val="00BA394C"/>
    <w:rsid w:val="00BA5510"/>
    <w:rsid w:val="00BA5AB2"/>
    <w:rsid w:val="00BC6100"/>
    <w:rsid w:val="00BD0D7F"/>
    <w:rsid w:val="00BD2EFF"/>
    <w:rsid w:val="00BE2C42"/>
    <w:rsid w:val="00BE5AF3"/>
    <w:rsid w:val="00BE6A6A"/>
    <w:rsid w:val="00BF2098"/>
    <w:rsid w:val="00BF62DA"/>
    <w:rsid w:val="00C011CD"/>
    <w:rsid w:val="00C01685"/>
    <w:rsid w:val="00C025C1"/>
    <w:rsid w:val="00C03633"/>
    <w:rsid w:val="00C14FF9"/>
    <w:rsid w:val="00C212B9"/>
    <w:rsid w:val="00C461E6"/>
    <w:rsid w:val="00C50DD7"/>
    <w:rsid w:val="00C6670E"/>
    <w:rsid w:val="00C80E74"/>
    <w:rsid w:val="00C84A80"/>
    <w:rsid w:val="00C930A5"/>
    <w:rsid w:val="00C94A75"/>
    <w:rsid w:val="00C9535C"/>
    <w:rsid w:val="00C969C9"/>
    <w:rsid w:val="00CA4012"/>
    <w:rsid w:val="00CA6A21"/>
    <w:rsid w:val="00CB7488"/>
    <w:rsid w:val="00CC1995"/>
    <w:rsid w:val="00CD32C7"/>
    <w:rsid w:val="00CE2954"/>
    <w:rsid w:val="00CE5519"/>
    <w:rsid w:val="00CF0154"/>
    <w:rsid w:val="00CF1244"/>
    <w:rsid w:val="00CF217F"/>
    <w:rsid w:val="00CF59CE"/>
    <w:rsid w:val="00CF6FE6"/>
    <w:rsid w:val="00D03056"/>
    <w:rsid w:val="00D10115"/>
    <w:rsid w:val="00D12974"/>
    <w:rsid w:val="00D15AE7"/>
    <w:rsid w:val="00D16D8E"/>
    <w:rsid w:val="00D273E9"/>
    <w:rsid w:val="00D40060"/>
    <w:rsid w:val="00D520AD"/>
    <w:rsid w:val="00D62C41"/>
    <w:rsid w:val="00D63AE7"/>
    <w:rsid w:val="00D7785D"/>
    <w:rsid w:val="00D7797D"/>
    <w:rsid w:val="00D93824"/>
    <w:rsid w:val="00DA294A"/>
    <w:rsid w:val="00DA3258"/>
    <w:rsid w:val="00DA3F62"/>
    <w:rsid w:val="00DA7383"/>
    <w:rsid w:val="00DB078A"/>
    <w:rsid w:val="00DC51A1"/>
    <w:rsid w:val="00DC7E81"/>
    <w:rsid w:val="00DD7B55"/>
    <w:rsid w:val="00DD7C4A"/>
    <w:rsid w:val="00DE0EB4"/>
    <w:rsid w:val="00DE5984"/>
    <w:rsid w:val="00DF5F95"/>
    <w:rsid w:val="00E04248"/>
    <w:rsid w:val="00E0526C"/>
    <w:rsid w:val="00E12301"/>
    <w:rsid w:val="00E159AC"/>
    <w:rsid w:val="00E227D5"/>
    <w:rsid w:val="00E34FD9"/>
    <w:rsid w:val="00E36B06"/>
    <w:rsid w:val="00E37127"/>
    <w:rsid w:val="00E438AC"/>
    <w:rsid w:val="00E525EE"/>
    <w:rsid w:val="00E5306A"/>
    <w:rsid w:val="00E53F06"/>
    <w:rsid w:val="00E55D68"/>
    <w:rsid w:val="00E70F9F"/>
    <w:rsid w:val="00E72B1A"/>
    <w:rsid w:val="00E836E2"/>
    <w:rsid w:val="00E84561"/>
    <w:rsid w:val="00E9266D"/>
    <w:rsid w:val="00E966AB"/>
    <w:rsid w:val="00EA1D64"/>
    <w:rsid w:val="00EA41C0"/>
    <w:rsid w:val="00EB3862"/>
    <w:rsid w:val="00EB5081"/>
    <w:rsid w:val="00EC01FE"/>
    <w:rsid w:val="00EC0796"/>
    <w:rsid w:val="00ED7D78"/>
    <w:rsid w:val="00EE6DDF"/>
    <w:rsid w:val="00EF13FC"/>
    <w:rsid w:val="00EF347B"/>
    <w:rsid w:val="00F10C4A"/>
    <w:rsid w:val="00F1668E"/>
    <w:rsid w:val="00F16979"/>
    <w:rsid w:val="00F16A2F"/>
    <w:rsid w:val="00F234B8"/>
    <w:rsid w:val="00F27D98"/>
    <w:rsid w:val="00F3792B"/>
    <w:rsid w:val="00F418A0"/>
    <w:rsid w:val="00F44B0D"/>
    <w:rsid w:val="00F457F7"/>
    <w:rsid w:val="00F4604A"/>
    <w:rsid w:val="00F47058"/>
    <w:rsid w:val="00F57E3A"/>
    <w:rsid w:val="00F659FA"/>
    <w:rsid w:val="00F700C7"/>
    <w:rsid w:val="00F73F07"/>
    <w:rsid w:val="00F7671A"/>
    <w:rsid w:val="00F80460"/>
    <w:rsid w:val="00F9146B"/>
    <w:rsid w:val="00F93D16"/>
    <w:rsid w:val="00FA373A"/>
    <w:rsid w:val="00FB2B15"/>
    <w:rsid w:val="00FB5B05"/>
    <w:rsid w:val="00FC229E"/>
    <w:rsid w:val="00FC2BEB"/>
    <w:rsid w:val="00FC570C"/>
    <w:rsid w:val="00FD3F31"/>
    <w:rsid w:val="00FE2D23"/>
    <w:rsid w:val="00FE439A"/>
    <w:rsid w:val="00FE449F"/>
    <w:rsid w:val="00FF0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3784C"/>
  <w15:docId w15:val="{B1938F6A-607D-4794-ABB0-FEF05A07D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570C"/>
    <w:pPr>
      <w:numPr>
        <w:numId w:val="4"/>
      </w:numPr>
      <w:spacing w:after="0" w:line="240" w:lineRule="auto"/>
    </w:pPr>
    <w:rPr>
      <w:rFonts w:ascii="Arial" w:hAnsi="Arial" w:cs="Arial"/>
    </w:rPr>
  </w:style>
  <w:style w:type="paragraph" w:styleId="Heading1">
    <w:name w:val="heading 1"/>
    <w:basedOn w:val="Normal"/>
    <w:next w:val="Normal"/>
    <w:link w:val="Heading1Char"/>
    <w:uiPriority w:val="9"/>
    <w:qFormat/>
    <w:rsid w:val="00FC570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73F0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7098D"/>
    <w:pPr>
      <w:spacing w:after="0" w:line="240" w:lineRule="auto"/>
    </w:pPr>
  </w:style>
  <w:style w:type="character" w:styleId="Hyperlink">
    <w:name w:val="Hyperlink"/>
    <w:basedOn w:val="DefaultParagraphFont"/>
    <w:uiPriority w:val="99"/>
    <w:unhideWhenUsed/>
    <w:rsid w:val="0077098D"/>
    <w:rPr>
      <w:color w:val="0563C1" w:themeColor="hyperlink"/>
      <w:u w:val="single"/>
    </w:rPr>
  </w:style>
  <w:style w:type="character" w:styleId="UnresolvedMention">
    <w:name w:val="Unresolved Mention"/>
    <w:basedOn w:val="DefaultParagraphFont"/>
    <w:uiPriority w:val="99"/>
    <w:semiHidden/>
    <w:unhideWhenUsed/>
    <w:rsid w:val="0077098D"/>
    <w:rPr>
      <w:color w:val="605E5C"/>
      <w:shd w:val="clear" w:color="auto" w:fill="E1DFDD"/>
    </w:rPr>
  </w:style>
  <w:style w:type="table" w:styleId="TableGrid">
    <w:name w:val="Table Grid"/>
    <w:basedOn w:val="TableNormal"/>
    <w:uiPriority w:val="39"/>
    <w:rsid w:val="008C4A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10FEC"/>
    <w:rPr>
      <w:sz w:val="16"/>
      <w:szCs w:val="16"/>
    </w:rPr>
  </w:style>
  <w:style w:type="paragraph" w:styleId="CommentText">
    <w:name w:val="annotation text"/>
    <w:basedOn w:val="Normal"/>
    <w:link w:val="CommentTextChar"/>
    <w:uiPriority w:val="99"/>
    <w:unhideWhenUsed/>
    <w:rsid w:val="00310FEC"/>
    <w:rPr>
      <w:sz w:val="20"/>
      <w:szCs w:val="20"/>
    </w:rPr>
  </w:style>
  <w:style w:type="character" w:customStyle="1" w:styleId="CommentTextChar">
    <w:name w:val="Comment Text Char"/>
    <w:basedOn w:val="DefaultParagraphFont"/>
    <w:link w:val="CommentText"/>
    <w:uiPriority w:val="99"/>
    <w:rsid w:val="00310FEC"/>
    <w:rPr>
      <w:sz w:val="20"/>
      <w:szCs w:val="20"/>
    </w:rPr>
  </w:style>
  <w:style w:type="paragraph" w:styleId="CommentSubject">
    <w:name w:val="annotation subject"/>
    <w:basedOn w:val="CommentText"/>
    <w:next w:val="CommentText"/>
    <w:link w:val="CommentSubjectChar"/>
    <w:uiPriority w:val="99"/>
    <w:semiHidden/>
    <w:unhideWhenUsed/>
    <w:rsid w:val="00310FEC"/>
    <w:rPr>
      <w:b/>
      <w:bCs/>
    </w:rPr>
  </w:style>
  <w:style w:type="character" w:customStyle="1" w:styleId="CommentSubjectChar">
    <w:name w:val="Comment Subject Char"/>
    <w:basedOn w:val="CommentTextChar"/>
    <w:link w:val="CommentSubject"/>
    <w:uiPriority w:val="99"/>
    <w:semiHidden/>
    <w:rsid w:val="00310FEC"/>
    <w:rPr>
      <w:b/>
      <w:bCs/>
      <w:sz w:val="20"/>
      <w:szCs w:val="20"/>
    </w:rPr>
  </w:style>
  <w:style w:type="paragraph" w:styleId="BalloonText">
    <w:name w:val="Balloon Text"/>
    <w:basedOn w:val="Normal"/>
    <w:link w:val="BalloonTextChar"/>
    <w:uiPriority w:val="99"/>
    <w:semiHidden/>
    <w:unhideWhenUsed/>
    <w:rsid w:val="00310F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0FEC"/>
    <w:rPr>
      <w:rFonts w:ascii="Segoe UI" w:hAnsi="Segoe UI" w:cs="Segoe UI"/>
      <w:sz w:val="18"/>
      <w:szCs w:val="18"/>
    </w:rPr>
  </w:style>
  <w:style w:type="table" w:styleId="GridTable3">
    <w:name w:val="Grid Table 3"/>
    <w:basedOn w:val="TableNormal"/>
    <w:uiPriority w:val="48"/>
    <w:rsid w:val="00450D4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1Light">
    <w:name w:val="Grid Table 1 Light"/>
    <w:basedOn w:val="TableNormal"/>
    <w:uiPriority w:val="46"/>
    <w:rsid w:val="00450D4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1">
    <w:name w:val="Plain Table 1"/>
    <w:basedOn w:val="TableNormal"/>
    <w:uiPriority w:val="41"/>
    <w:rsid w:val="00450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itle">
    <w:name w:val="Title"/>
    <w:basedOn w:val="Normal"/>
    <w:next w:val="Normal"/>
    <w:link w:val="TitleChar"/>
    <w:uiPriority w:val="10"/>
    <w:qFormat/>
    <w:rsid w:val="009A48A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48A7"/>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87719A"/>
    <w:pPr>
      <w:contextualSpacing/>
    </w:pPr>
  </w:style>
  <w:style w:type="character" w:styleId="FollowedHyperlink">
    <w:name w:val="FollowedHyperlink"/>
    <w:basedOn w:val="DefaultParagraphFont"/>
    <w:uiPriority w:val="99"/>
    <w:semiHidden/>
    <w:unhideWhenUsed/>
    <w:rsid w:val="00842C88"/>
    <w:rPr>
      <w:color w:val="954F72" w:themeColor="followedHyperlink"/>
      <w:u w:val="single"/>
    </w:rPr>
  </w:style>
  <w:style w:type="paragraph" w:styleId="NormalWeb">
    <w:name w:val="Normal (Web)"/>
    <w:basedOn w:val="Normal"/>
    <w:uiPriority w:val="99"/>
    <w:unhideWhenUsed/>
    <w:rsid w:val="00421EB0"/>
    <w:pPr>
      <w:spacing w:before="100" w:beforeAutospacing="1" w:after="100" w:afterAutospacing="1"/>
    </w:pPr>
    <w:rPr>
      <w:rFonts w:ascii="Calibri" w:hAnsi="Calibri" w:cs="Calibri"/>
    </w:rPr>
  </w:style>
  <w:style w:type="paragraph" w:styleId="Revision">
    <w:name w:val="Revision"/>
    <w:hidden/>
    <w:uiPriority w:val="99"/>
    <w:semiHidden/>
    <w:rsid w:val="00E5306A"/>
    <w:pPr>
      <w:spacing w:after="0" w:line="240" w:lineRule="auto"/>
    </w:pPr>
  </w:style>
  <w:style w:type="paragraph" w:styleId="Header">
    <w:name w:val="header"/>
    <w:basedOn w:val="Normal"/>
    <w:link w:val="HeaderChar"/>
    <w:uiPriority w:val="99"/>
    <w:unhideWhenUsed/>
    <w:rsid w:val="00EC01FE"/>
    <w:pPr>
      <w:tabs>
        <w:tab w:val="center" w:pos="4680"/>
        <w:tab w:val="right" w:pos="9360"/>
      </w:tabs>
    </w:pPr>
  </w:style>
  <w:style w:type="character" w:customStyle="1" w:styleId="HeaderChar">
    <w:name w:val="Header Char"/>
    <w:basedOn w:val="DefaultParagraphFont"/>
    <w:link w:val="Header"/>
    <w:uiPriority w:val="99"/>
    <w:rsid w:val="00EC01FE"/>
  </w:style>
  <w:style w:type="paragraph" w:styleId="Footer">
    <w:name w:val="footer"/>
    <w:basedOn w:val="Normal"/>
    <w:link w:val="FooterChar"/>
    <w:uiPriority w:val="99"/>
    <w:unhideWhenUsed/>
    <w:rsid w:val="00EC01FE"/>
    <w:pPr>
      <w:tabs>
        <w:tab w:val="center" w:pos="4680"/>
        <w:tab w:val="right" w:pos="9360"/>
      </w:tabs>
    </w:pPr>
  </w:style>
  <w:style w:type="character" w:customStyle="1" w:styleId="FooterChar">
    <w:name w:val="Footer Char"/>
    <w:basedOn w:val="DefaultParagraphFont"/>
    <w:link w:val="Footer"/>
    <w:uiPriority w:val="99"/>
    <w:rsid w:val="00EC01FE"/>
  </w:style>
  <w:style w:type="table" w:styleId="ListTable2">
    <w:name w:val="List Table 2"/>
    <w:basedOn w:val="TableNormal"/>
    <w:uiPriority w:val="47"/>
    <w:rsid w:val="001569C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3">
    <w:name w:val="List Table 2 Accent 3"/>
    <w:basedOn w:val="TableNormal"/>
    <w:uiPriority w:val="47"/>
    <w:rsid w:val="001569C6"/>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3">
    <w:name w:val="List Table 1 Light Accent 3"/>
    <w:basedOn w:val="TableNormal"/>
    <w:uiPriority w:val="46"/>
    <w:rsid w:val="009369D7"/>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Heading1Char">
    <w:name w:val="Heading 1 Char"/>
    <w:basedOn w:val="DefaultParagraphFont"/>
    <w:link w:val="Heading1"/>
    <w:uiPriority w:val="9"/>
    <w:rsid w:val="00FC570C"/>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FC570C"/>
    <w:pPr>
      <w:numPr>
        <w:numId w:val="0"/>
      </w:numPr>
      <w:spacing w:line="259" w:lineRule="auto"/>
      <w:outlineLvl w:val="9"/>
    </w:pPr>
  </w:style>
  <w:style w:type="character" w:styleId="SubtleEmphasis">
    <w:name w:val="Subtle Emphasis"/>
    <w:basedOn w:val="DefaultParagraphFont"/>
    <w:uiPriority w:val="19"/>
    <w:qFormat/>
    <w:rsid w:val="00F73F07"/>
    <w:rPr>
      <w:i/>
      <w:iCs/>
      <w:color w:val="404040" w:themeColor="text1" w:themeTint="BF"/>
    </w:rPr>
  </w:style>
  <w:style w:type="character" w:customStyle="1" w:styleId="Heading2Char">
    <w:name w:val="Heading 2 Char"/>
    <w:basedOn w:val="DefaultParagraphFont"/>
    <w:link w:val="Heading2"/>
    <w:uiPriority w:val="9"/>
    <w:rsid w:val="00F73F07"/>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640EAE"/>
    <w:pPr>
      <w:numPr>
        <w:numId w:val="0"/>
      </w:numPr>
      <w:tabs>
        <w:tab w:val="left" w:pos="720"/>
        <w:tab w:val="right" w:leader="dot" w:pos="9350"/>
      </w:tabs>
      <w:spacing w:after="100"/>
      <w:ind w:left="220"/>
    </w:pPr>
    <w:rPr>
      <w:noProof/>
      <w:sz w:val="20"/>
      <w:szCs w:val="20"/>
    </w:rPr>
  </w:style>
  <w:style w:type="paragraph" w:styleId="TOC1">
    <w:name w:val="toc 1"/>
    <w:basedOn w:val="Normal"/>
    <w:next w:val="Normal"/>
    <w:autoRedefine/>
    <w:uiPriority w:val="39"/>
    <w:unhideWhenUsed/>
    <w:rsid w:val="00F73F07"/>
    <w:pPr>
      <w:spacing w:after="100"/>
      <w:ind w:left="0"/>
    </w:pPr>
  </w:style>
  <w:style w:type="character" w:customStyle="1" w:styleId="NoSpacingChar">
    <w:name w:val="No Spacing Char"/>
    <w:basedOn w:val="DefaultParagraphFont"/>
    <w:link w:val="NoSpacing"/>
    <w:uiPriority w:val="1"/>
    <w:rsid w:val="006A58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97686">
      <w:bodyDiv w:val="1"/>
      <w:marLeft w:val="0"/>
      <w:marRight w:val="0"/>
      <w:marTop w:val="0"/>
      <w:marBottom w:val="0"/>
      <w:divBdr>
        <w:top w:val="none" w:sz="0" w:space="0" w:color="auto"/>
        <w:left w:val="none" w:sz="0" w:space="0" w:color="auto"/>
        <w:bottom w:val="none" w:sz="0" w:space="0" w:color="auto"/>
        <w:right w:val="none" w:sz="0" w:space="0" w:color="auto"/>
      </w:divBdr>
    </w:div>
    <w:div w:id="160438804">
      <w:bodyDiv w:val="1"/>
      <w:marLeft w:val="0"/>
      <w:marRight w:val="0"/>
      <w:marTop w:val="0"/>
      <w:marBottom w:val="0"/>
      <w:divBdr>
        <w:top w:val="none" w:sz="0" w:space="0" w:color="auto"/>
        <w:left w:val="none" w:sz="0" w:space="0" w:color="auto"/>
        <w:bottom w:val="none" w:sz="0" w:space="0" w:color="auto"/>
        <w:right w:val="none" w:sz="0" w:space="0" w:color="auto"/>
      </w:divBdr>
    </w:div>
    <w:div w:id="200477993">
      <w:bodyDiv w:val="1"/>
      <w:marLeft w:val="0"/>
      <w:marRight w:val="0"/>
      <w:marTop w:val="0"/>
      <w:marBottom w:val="0"/>
      <w:divBdr>
        <w:top w:val="none" w:sz="0" w:space="0" w:color="auto"/>
        <w:left w:val="none" w:sz="0" w:space="0" w:color="auto"/>
        <w:bottom w:val="none" w:sz="0" w:space="0" w:color="auto"/>
        <w:right w:val="none" w:sz="0" w:space="0" w:color="auto"/>
      </w:divBdr>
    </w:div>
    <w:div w:id="208222154">
      <w:bodyDiv w:val="1"/>
      <w:marLeft w:val="0"/>
      <w:marRight w:val="0"/>
      <w:marTop w:val="0"/>
      <w:marBottom w:val="0"/>
      <w:divBdr>
        <w:top w:val="none" w:sz="0" w:space="0" w:color="auto"/>
        <w:left w:val="none" w:sz="0" w:space="0" w:color="auto"/>
        <w:bottom w:val="none" w:sz="0" w:space="0" w:color="auto"/>
        <w:right w:val="none" w:sz="0" w:space="0" w:color="auto"/>
      </w:divBdr>
    </w:div>
    <w:div w:id="213079514">
      <w:bodyDiv w:val="1"/>
      <w:marLeft w:val="0"/>
      <w:marRight w:val="0"/>
      <w:marTop w:val="0"/>
      <w:marBottom w:val="0"/>
      <w:divBdr>
        <w:top w:val="none" w:sz="0" w:space="0" w:color="auto"/>
        <w:left w:val="none" w:sz="0" w:space="0" w:color="auto"/>
        <w:bottom w:val="none" w:sz="0" w:space="0" w:color="auto"/>
        <w:right w:val="none" w:sz="0" w:space="0" w:color="auto"/>
      </w:divBdr>
      <w:divsChild>
        <w:div w:id="1359502613">
          <w:marLeft w:val="0"/>
          <w:marRight w:val="0"/>
          <w:marTop w:val="0"/>
          <w:marBottom w:val="0"/>
          <w:divBdr>
            <w:top w:val="none" w:sz="0" w:space="0" w:color="auto"/>
            <w:left w:val="none" w:sz="0" w:space="0" w:color="auto"/>
            <w:bottom w:val="none" w:sz="0" w:space="0" w:color="auto"/>
            <w:right w:val="none" w:sz="0" w:space="0" w:color="auto"/>
          </w:divBdr>
        </w:div>
      </w:divsChild>
    </w:div>
    <w:div w:id="282930429">
      <w:bodyDiv w:val="1"/>
      <w:marLeft w:val="0"/>
      <w:marRight w:val="0"/>
      <w:marTop w:val="0"/>
      <w:marBottom w:val="0"/>
      <w:divBdr>
        <w:top w:val="none" w:sz="0" w:space="0" w:color="auto"/>
        <w:left w:val="none" w:sz="0" w:space="0" w:color="auto"/>
        <w:bottom w:val="none" w:sz="0" w:space="0" w:color="auto"/>
        <w:right w:val="none" w:sz="0" w:space="0" w:color="auto"/>
      </w:divBdr>
    </w:div>
    <w:div w:id="420686523">
      <w:bodyDiv w:val="1"/>
      <w:marLeft w:val="0"/>
      <w:marRight w:val="0"/>
      <w:marTop w:val="0"/>
      <w:marBottom w:val="0"/>
      <w:divBdr>
        <w:top w:val="none" w:sz="0" w:space="0" w:color="auto"/>
        <w:left w:val="none" w:sz="0" w:space="0" w:color="auto"/>
        <w:bottom w:val="none" w:sz="0" w:space="0" w:color="auto"/>
        <w:right w:val="none" w:sz="0" w:space="0" w:color="auto"/>
      </w:divBdr>
      <w:divsChild>
        <w:div w:id="613363045">
          <w:marLeft w:val="0"/>
          <w:marRight w:val="0"/>
          <w:marTop w:val="0"/>
          <w:marBottom w:val="0"/>
          <w:divBdr>
            <w:top w:val="none" w:sz="0" w:space="0" w:color="auto"/>
            <w:left w:val="none" w:sz="0" w:space="0" w:color="auto"/>
            <w:bottom w:val="none" w:sz="0" w:space="0" w:color="auto"/>
            <w:right w:val="none" w:sz="0" w:space="0" w:color="auto"/>
          </w:divBdr>
        </w:div>
      </w:divsChild>
    </w:div>
    <w:div w:id="425688042">
      <w:bodyDiv w:val="1"/>
      <w:marLeft w:val="0"/>
      <w:marRight w:val="0"/>
      <w:marTop w:val="0"/>
      <w:marBottom w:val="0"/>
      <w:divBdr>
        <w:top w:val="none" w:sz="0" w:space="0" w:color="auto"/>
        <w:left w:val="none" w:sz="0" w:space="0" w:color="auto"/>
        <w:bottom w:val="none" w:sz="0" w:space="0" w:color="auto"/>
        <w:right w:val="none" w:sz="0" w:space="0" w:color="auto"/>
      </w:divBdr>
    </w:div>
    <w:div w:id="451481259">
      <w:bodyDiv w:val="1"/>
      <w:marLeft w:val="0"/>
      <w:marRight w:val="0"/>
      <w:marTop w:val="0"/>
      <w:marBottom w:val="0"/>
      <w:divBdr>
        <w:top w:val="none" w:sz="0" w:space="0" w:color="auto"/>
        <w:left w:val="none" w:sz="0" w:space="0" w:color="auto"/>
        <w:bottom w:val="none" w:sz="0" w:space="0" w:color="auto"/>
        <w:right w:val="none" w:sz="0" w:space="0" w:color="auto"/>
      </w:divBdr>
      <w:divsChild>
        <w:div w:id="1298874446">
          <w:marLeft w:val="0"/>
          <w:marRight w:val="0"/>
          <w:marTop w:val="0"/>
          <w:marBottom w:val="0"/>
          <w:divBdr>
            <w:top w:val="none" w:sz="0" w:space="0" w:color="auto"/>
            <w:left w:val="none" w:sz="0" w:space="0" w:color="auto"/>
            <w:bottom w:val="none" w:sz="0" w:space="0" w:color="auto"/>
            <w:right w:val="none" w:sz="0" w:space="0" w:color="auto"/>
          </w:divBdr>
        </w:div>
      </w:divsChild>
    </w:div>
    <w:div w:id="529613012">
      <w:bodyDiv w:val="1"/>
      <w:marLeft w:val="0"/>
      <w:marRight w:val="0"/>
      <w:marTop w:val="0"/>
      <w:marBottom w:val="0"/>
      <w:divBdr>
        <w:top w:val="none" w:sz="0" w:space="0" w:color="auto"/>
        <w:left w:val="none" w:sz="0" w:space="0" w:color="auto"/>
        <w:bottom w:val="none" w:sz="0" w:space="0" w:color="auto"/>
        <w:right w:val="none" w:sz="0" w:space="0" w:color="auto"/>
      </w:divBdr>
    </w:div>
    <w:div w:id="542057319">
      <w:bodyDiv w:val="1"/>
      <w:marLeft w:val="0"/>
      <w:marRight w:val="0"/>
      <w:marTop w:val="0"/>
      <w:marBottom w:val="0"/>
      <w:divBdr>
        <w:top w:val="none" w:sz="0" w:space="0" w:color="auto"/>
        <w:left w:val="none" w:sz="0" w:space="0" w:color="auto"/>
        <w:bottom w:val="none" w:sz="0" w:space="0" w:color="auto"/>
        <w:right w:val="none" w:sz="0" w:space="0" w:color="auto"/>
      </w:divBdr>
    </w:div>
    <w:div w:id="555432216">
      <w:bodyDiv w:val="1"/>
      <w:marLeft w:val="0"/>
      <w:marRight w:val="0"/>
      <w:marTop w:val="0"/>
      <w:marBottom w:val="0"/>
      <w:divBdr>
        <w:top w:val="none" w:sz="0" w:space="0" w:color="auto"/>
        <w:left w:val="none" w:sz="0" w:space="0" w:color="auto"/>
        <w:bottom w:val="none" w:sz="0" w:space="0" w:color="auto"/>
        <w:right w:val="none" w:sz="0" w:space="0" w:color="auto"/>
      </w:divBdr>
    </w:div>
    <w:div w:id="691036298">
      <w:bodyDiv w:val="1"/>
      <w:marLeft w:val="0"/>
      <w:marRight w:val="0"/>
      <w:marTop w:val="0"/>
      <w:marBottom w:val="0"/>
      <w:divBdr>
        <w:top w:val="none" w:sz="0" w:space="0" w:color="auto"/>
        <w:left w:val="none" w:sz="0" w:space="0" w:color="auto"/>
        <w:bottom w:val="none" w:sz="0" w:space="0" w:color="auto"/>
        <w:right w:val="none" w:sz="0" w:space="0" w:color="auto"/>
      </w:divBdr>
    </w:div>
    <w:div w:id="838228857">
      <w:bodyDiv w:val="1"/>
      <w:marLeft w:val="0"/>
      <w:marRight w:val="0"/>
      <w:marTop w:val="0"/>
      <w:marBottom w:val="0"/>
      <w:divBdr>
        <w:top w:val="none" w:sz="0" w:space="0" w:color="auto"/>
        <w:left w:val="none" w:sz="0" w:space="0" w:color="auto"/>
        <w:bottom w:val="none" w:sz="0" w:space="0" w:color="auto"/>
        <w:right w:val="none" w:sz="0" w:space="0" w:color="auto"/>
      </w:divBdr>
    </w:div>
    <w:div w:id="891111050">
      <w:bodyDiv w:val="1"/>
      <w:marLeft w:val="0"/>
      <w:marRight w:val="0"/>
      <w:marTop w:val="0"/>
      <w:marBottom w:val="0"/>
      <w:divBdr>
        <w:top w:val="none" w:sz="0" w:space="0" w:color="auto"/>
        <w:left w:val="none" w:sz="0" w:space="0" w:color="auto"/>
        <w:bottom w:val="none" w:sz="0" w:space="0" w:color="auto"/>
        <w:right w:val="none" w:sz="0" w:space="0" w:color="auto"/>
      </w:divBdr>
    </w:div>
    <w:div w:id="937254494">
      <w:bodyDiv w:val="1"/>
      <w:marLeft w:val="0"/>
      <w:marRight w:val="0"/>
      <w:marTop w:val="0"/>
      <w:marBottom w:val="0"/>
      <w:divBdr>
        <w:top w:val="none" w:sz="0" w:space="0" w:color="auto"/>
        <w:left w:val="none" w:sz="0" w:space="0" w:color="auto"/>
        <w:bottom w:val="none" w:sz="0" w:space="0" w:color="auto"/>
        <w:right w:val="none" w:sz="0" w:space="0" w:color="auto"/>
      </w:divBdr>
    </w:div>
    <w:div w:id="972373124">
      <w:bodyDiv w:val="1"/>
      <w:marLeft w:val="0"/>
      <w:marRight w:val="0"/>
      <w:marTop w:val="0"/>
      <w:marBottom w:val="0"/>
      <w:divBdr>
        <w:top w:val="none" w:sz="0" w:space="0" w:color="auto"/>
        <w:left w:val="none" w:sz="0" w:space="0" w:color="auto"/>
        <w:bottom w:val="none" w:sz="0" w:space="0" w:color="auto"/>
        <w:right w:val="none" w:sz="0" w:space="0" w:color="auto"/>
      </w:divBdr>
    </w:div>
    <w:div w:id="1021471670">
      <w:bodyDiv w:val="1"/>
      <w:marLeft w:val="0"/>
      <w:marRight w:val="0"/>
      <w:marTop w:val="0"/>
      <w:marBottom w:val="0"/>
      <w:divBdr>
        <w:top w:val="none" w:sz="0" w:space="0" w:color="auto"/>
        <w:left w:val="none" w:sz="0" w:space="0" w:color="auto"/>
        <w:bottom w:val="none" w:sz="0" w:space="0" w:color="auto"/>
        <w:right w:val="none" w:sz="0" w:space="0" w:color="auto"/>
      </w:divBdr>
    </w:div>
    <w:div w:id="1054352232">
      <w:bodyDiv w:val="1"/>
      <w:marLeft w:val="0"/>
      <w:marRight w:val="0"/>
      <w:marTop w:val="0"/>
      <w:marBottom w:val="0"/>
      <w:divBdr>
        <w:top w:val="none" w:sz="0" w:space="0" w:color="auto"/>
        <w:left w:val="none" w:sz="0" w:space="0" w:color="auto"/>
        <w:bottom w:val="none" w:sz="0" w:space="0" w:color="auto"/>
        <w:right w:val="none" w:sz="0" w:space="0" w:color="auto"/>
      </w:divBdr>
    </w:div>
    <w:div w:id="1120563361">
      <w:bodyDiv w:val="1"/>
      <w:marLeft w:val="0"/>
      <w:marRight w:val="0"/>
      <w:marTop w:val="0"/>
      <w:marBottom w:val="0"/>
      <w:divBdr>
        <w:top w:val="none" w:sz="0" w:space="0" w:color="auto"/>
        <w:left w:val="none" w:sz="0" w:space="0" w:color="auto"/>
        <w:bottom w:val="none" w:sz="0" w:space="0" w:color="auto"/>
        <w:right w:val="none" w:sz="0" w:space="0" w:color="auto"/>
      </w:divBdr>
    </w:div>
    <w:div w:id="1126580867">
      <w:bodyDiv w:val="1"/>
      <w:marLeft w:val="0"/>
      <w:marRight w:val="0"/>
      <w:marTop w:val="0"/>
      <w:marBottom w:val="0"/>
      <w:divBdr>
        <w:top w:val="none" w:sz="0" w:space="0" w:color="auto"/>
        <w:left w:val="none" w:sz="0" w:space="0" w:color="auto"/>
        <w:bottom w:val="none" w:sz="0" w:space="0" w:color="auto"/>
        <w:right w:val="none" w:sz="0" w:space="0" w:color="auto"/>
      </w:divBdr>
    </w:div>
    <w:div w:id="1128087171">
      <w:bodyDiv w:val="1"/>
      <w:marLeft w:val="0"/>
      <w:marRight w:val="0"/>
      <w:marTop w:val="0"/>
      <w:marBottom w:val="0"/>
      <w:divBdr>
        <w:top w:val="none" w:sz="0" w:space="0" w:color="auto"/>
        <w:left w:val="none" w:sz="0" w:space="0" w:color="auto"/>
        <w:bottom w:val="none" w:sz="0" w:space="0" w:color="auto"/>
        <w:right w:val="none" w:sz="0" w:space="0" w:color="auto"/>
      </w:divBdr>
    </w:div>
    <w:div w:id="1335256863">
      <w:bodyDiv w:val="1"/>
      <w:marLeft w:val="0"/>
      <w:marRight w:val="0"/>
      <w:marTop w:val="0"/>
      <w:marBottom w:val="0"/>
      <w:divBdr>
        <w:top w:val="none" w:sz="0" w:space="0" w:color="auto"/>
        <w:left w:val="none" w:sz="0" w:space="0" w:color="auto"/>
        <w:bottom w:val="none" w:sz="0" w:space="0" w:color="auto"/>
        <w:right w:val="none" w:sz="0" w:space="0" w:color="auto"/>
      </w:divBdr>
    </w:div>
    <w:div w:id="1348290921">
      <w:bodyDiv w:val="1"/>
      <w:marLeft w:val="0"/>
      <w:marRight w:val="0"/>
      <w:marTop w:val="0"/>
      <w:marBottom w:val="0"/>
      <w:divBdr>
        <w:top w:val="none" w:sz="0" w:space="0" w:color="auto"/>
        <w:left w:val="none" w:sz="0" w:space="0" w:color="auto"/>
        <w:bottom w:val="none" w:sz="0" w:space="0" w:color="auto"/>
        <w:right w:val="none" w:sz="0" w:space="0" w:color="auto"/>
      </w:divBdr>
    </w:div>
    <w:div w:id="1349720540">
      <w:bodyDiv w:val="1"/>
      <w:marLeft w:val="0"/>
      <w:marRight w:val="0"/>
      <w:marTop w:val="0"/>
      <w:marBottom w:val="0"/>
      <w:divBdr>
        <w:top w:val="none" w:sz="0" w:space="0" w:color="auto"/>
        <w:left w:val="none" w:sz="0" w:space="0" w:color="auto"/>
        <w:bottom w:val="none" w:sz="0" w:space="0" w:color="auto"/>
        <w:right w:val="none" w:sz="0" w:space="0" w:color="auto"/>
      </w:divBdr>
      <w:divsChild>
        <w:div w:id="882446739">
          <w:marLeft w:val="0"/>
          <w:marRight w:val="0"/>
          <w:marTop w:val="0"/>
          <w:marBottom w:val="0"/>
          <w:divBdr>
            <w:top w:val="none" w:sz="0" w:space="0" w:color="auto"/>
            <w:left w:val="none" w:sz="0" w:space="0" w:color="auto"/>
            <w:bottom w:val="none" w:sz="0" w:space="0" w:color="auto"/>
            <w:right w:val="none" w:sz="0" w:space="0" w:color="auto"/>
          </w:divBdr>
        </w:div>
      </w:divsChild>
    </w:div>
    <w:div w:id="1428039863">
      <w:bodyDiv w:val="1"/>
      <w:marLeft w:val="0"/>
      <w:marRight w:val="0"/>
      <w:marTop w:val="0"/>
      <w:marBottom w:val="0"/>
      <w:divBdr>
        <w:top w:val="none" w:sz="0" w:space="0" w:color="auto"/>
        <w:left w:val="none" w:sz="0" w:space="0" w:color="auto"/>
        <w:bottom w:val="none" w:sz="0" w:space="0" w:color="auto"/>
        <w:right w:val="none" w:sz="0" w:space="0" w:color="auto"/>
      </w:divBdr>
    </w:div>
    <w:div w:id="1560551764">
      <w:bodyDiv w:val="1"/>
      <w:marLeft w:val="0"/>
      <w:marRight w:val="0"/>
      <w:marTop w:val="0"/>
      <w:marBottom w:val="0"/>
      <w:divBdr>
        <w:top w:val="none" w:sz="0" w:space="0" w:color="auto"/>
        <w:left w:val="none" w:sz="0" w:space="0" w:color="auto"/>
        <w:bottom w:val="none" w:sz="0" w:space="0" w:color="auto"/>
        <w:right w:val="none" w:sz="0" w:space="0" w:color="auto"/>
      </w:divBdr>
    </w:div>
    <w:div w:id="1787772308">
      <w:bodyDiv w:val="1"/>
      <w:marLeft w:val="0"/>
      <w:marRight w:val="0"/>
      <w:marTop w:val="0"/>
      <w:marBottom w:val="0"/>
      <w:divBdr>
        <w:top w:val="none" w:sz="0" w:space="0" w:color="auto"/>
        <w:left w:val="none" w:sz="0" w:space="0" w:color="auto"/>
        <w:bottom w:val="none" w:sz="0" w:space="0" w:color="auto"/>
        <w:right w:val="none" w:sz="0" w:space="0" w:color="auto"/>
      </w:divBdr>
    </w:div>
    <w:div w:id="1788890294">
      <w:bodyDiv w:val="1"/>
      <w:marLeft w:val="0"/>
      <w:marRight w:val="0"/>
      <w:marTop w:val="0"/>
      <w:marBottom w:val="0"/>
      <w:divBdr>
        <w:top w:val="none" w:sz="0" w:space="0" w:color="auto"/>
        <w:left w:val="none" w:sz="0" w:space="0" w:color="auto"/>
        <w:bottom w:val="none" w:sz="0" w:space="0" w:color="auto"/>
        <w:right w:val="none" w:sz="0" w:space="0" w:color="auto"/>
      </w:divBdr>
    </w:div>
    <w:div w:id="1874493179">
      <w:bodyDiv w:val="1"/>
      <w:marLeft w:val="0"/>
      <w:marRight w:val="0"/>
      <w:marTop w:val="0"/>
      <w:marBottom w:val="0"/>
      <w:divBdr>
        <w:top w:val="none" w:sz="0" w:space="0" w:color="auto"/>
        <w:left w:val="none" w:sz="0" w:space="0" w:color="auto"/>
        <w:bottom w:val="none" w:sz="0" w:space="0" w:color="auto"/>
        <w:right w:val="none" w:sz="0" w:space="0" w:color="auto"/>
      </w:divBdr>
    </w:div>
    <w:div w:id="1907256137">
      <w:bodyDiv w:val="1"/>
      <w:marLeft w:val="0"/>
      <w:marRight w:val="0"/>
      <w:marTop w:val="0"/>
      <w:marBottom w:val="0"/>
      <w:divBdr>
        <w:top w:val="none" w:sz="0" w:space="0" w:color="auto"/>
        <w:left w:val="none" w:sz="0" w:space="0" w:color="auto"/>
        <w:bottom w:val="none" w:sz="0" w:space="0" w:color="auto"/>
        <w:right w:val="none" w:sz="0" w:space="0" w:color="auto"/>
      </w:divBdr>
    </w:div>
    <w:div w:id="1968655528">
      <w:bodyDiv w:val="1"/>
      <w:marLeft w:val="0"/>
      <w:marRight w:val="0"/>
      <w:marTop w:val="0"/>
      <w:marBottom w:val="0"/>
      <w:divBdr>
        <w:top w:val="none" w:sz="0" w:space="0" w:color="auto"/>
        <w:left w:val="none" w:sz="0" w:space="0" w:color="auto"/>
        <w:bottom w:val="none" w:sz="0" w:space="0" w:color="auto"/>
        <w:right w:val="none" w:sz="0" w:space="0" w:color="auto"/>
      </w:divBdr>
    </w:div>
    <w:div w:id="2039233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PermissionRequest@nccn.org" TargetMode="External"/><Relationship Id="rId18" Type="http://schemas.openxmlformats.org/officeDocument/2006/relationships/header" Target="header1.xml"/><Relationship Id="rId26" Type="http://schemas.openxmlformats.org/officeDocument/2006/relationships/hyperlink" Target="https://pubmed.ncbi.nlm.nih.gov/26397936/" TargetMode="External"/><Relationship Id="rId3" Type="http://schemas.openxmlformats.org/officeDocument/2006/relationships/numbering" Target="numbering.xml"/><Relationship Id="rId21" Type="http://schemas.openxmlformats.org/officeDocument/2006/relationships/hyperlink" Target="https://ashpublications.org/blood/article/118/25/6521/29236/Dasatinib-as-first-line-treatment-for-adult"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nccn.org/about/permissions/request_form.aspx" TargetMode="External"/><Relationship Id="rId17" Type="http://schemas.openxmlformats.org/officeDocument/2006/relationships/hyperlink" Target="https://www.cms.gov/medicare/physician-fee-schedule/search?Y=0&amp;T=0&amp;HT=0&amp;CT=0&amp;H1=96405&amp;M=5" TargetMode="External"/><Relationship Id="rId25" Type="http://schemas.openxmlformats.org/officeDocument/2006/relationships/hyperlink" Target="https://pubmed.ncbi.nlm.nih.gov/2207307/"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cn.org/professionals/drug_compendium/content/" TargetMode="External"/><Relationship Id="rId20" Type="http://schemas.openxmlformats.org/officeDocument/2006/relationships/hyperlink" Target="https://pmc.ncbi.nlm.nih.gov/articles/PMC8941470/" TargetMode="External"/><Relationship Id="rId29" Type="http://schemas.openxmlformats.org/officeDocument/2006/relationships/hyperlink" Target="https://pubmed.ncbi.nlm.nih.gov/1729006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tchea2@mskcc.org" TargetMode="External"/><Relationship Id="rId24" Type="http://schemas.openxmlformats.org/officeDocument/2006/relationships/hyperlink" Target="https://pubmed.ncbi.nlm.nih.gov/11821442/" TargetMode="External"/><Relationship Id="rId32" Type="http://schemas.openxmlformats.org/officeDocument/2006/relationships/hyperlink" Target="https://www.aapc.com/discuss/threads/campath-alemtuzumab-hcpcs-change.131972/" TargetMode="External"/><Relationship Id="rId5" Type="http://schemas.openxmlformats.org/officeDocument/2006/relationships/settings" Target="settings.xml"/><Relationship Id="rId15" Type="http://schemas.openxmlformats.org/officeDocument/2006/relationships/hyperlink" Target="https://www.uptodate.com/contents/search" TargetMode="External"/><Relationship Id="rId23" Type="http://schemas.openxmlformats.org/officeDocument/2006/relationships/hyperlink" Target="https://pubmed.ncbi.nlm.nih.gov/31356140/" TargetMode="External"/><Relationship Id="rId28" Type="http://schemas.openxmlformats.org/officeDocument/2006/relationships/hyperlink" Target="https://pubmed.ncbi.nlm.nih.gov/20823423/" TargetMode="External"/><Relationship Id="rId10" Type="http://schemas.openxmlformats.org/officeDocument/2006/relationships/image" Target="media/image2.png"/><Relationship Id="rId19" Type="http://schemas.openxmlformats.org/officeDocument/2006/relationships/footer" Target="footer1.xml"/><Relationship Id="rId31" Type="http://schemas.openxmlformats.org/officeDocument/2006/relationships/hyperlink" Target="https://www.mdedge.com/clinicalneurologynews/article/55802/leukemia-myelodysplasia-transplantation/ms-use-leads-fre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cms.gov/medicare/payment/part-b-drugs/asp-pricing-files" TargetMode="External"/><Relationship Id="rId22" Type="http://schemas.openxmlformats.org/officeDocument/2006/relationships/hyperlink" Target="https://ashpublications.org/blood/article/109/9/3676/23616/Imatinib-plus-steroids-induces-complete-remissions" TargetMode="External"/><Relationship Id="rId27" Type="http://schemas.openxmlformats.org/officeDocument/2006/relationships/hyperlink" Target="https://pubmed.ncbi.nlm.nih.gov/25445468/" TargetMode="External"/><Relationship Id="rId30" Type="http://schemas.openxmlformats.org/officeDocument/2006/relationships/hyperlink" Target="https://pubmed.ncbi.nlm.nih.gov/17440727/" TargetMode="Externa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Mitchea2@mskcc.org</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A4C8B6-97F1-4E01-8D0F-C3C0F636F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8748</Words>
  <Characters>49868</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FRAMEWORK FOR MEASURING CANCER TREATMENT COST AND QUALITY</vt:lpstr>
    </vt:vector>
  </TitlesOfParts>
  <Company/>
  <LinksUpToDate>false</LinksUpToDate>
  <CharactersWithSpaces>58500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FOR MEASURING CANCER TREATMENT COST AND QUALITY</dc:title>
  <dc:subject>User Guide</dc:subject>
  <dc:creator>Aaron P. Mitchell, MD, MPH</dc:creator>
  <cp:keywords/>
  <dc:description/>
  <cp:lastModifiedBy>Mitchell, Aaron</cp:lastModifiedBy>
  <cp:revision>5</cp:revision>
  <dcterms:created xsi:type="dcterms:W3CDTF">2025-04-17T13:11:00Z</dcterms:created>
  <dcterms:modified xsi:type="dcterms:W3CDTF">2025-04-17T15:37:00Z</dcterms:modified>
</cp:coreProperties>
</file>